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left="882" w:leftChars="220" w:right="-100" w:rightChars="-50" w:hanging="442" w:hangingChars="100"/>
        <w:jc w:val="left"/>
        <w:rPr>
          <w:rFonts w:ascii="方正小标宋简体" w:eastAsia="方正小标宋简体"/>
          <w:b/>
          <w:color w:val="000000"/>
          <w:sz w:val="44"/>
          <w:szCs w:val="44"/>
        </w:rPr>
      </w:pPr>
      <w:r>
        <w:rPr>
          <w:rFonts w:hint="eastAsia" w:ascii="方正小标宋简体" w:eastAsia="方正小标宋简体"/>
          <w:b/>
          <w:color w:val="000000"/>
          <w:sz w:val="44"/>
          <w:szCs w:val="44"/>
          <w:lang w:val="en-US" w:eastAsia="zh-CN"/>
        </w:rPr>
        <w:t>济宁太白湖新区公共资源交易服务中心</w:t>
      </w:r>
      <w:r>
        <w:rPr>
          <w:rFonts w:hint="eastAsia" w:ascii="方正小标宋简体" w:eastAsia="方正小标宋简体"/>
          <w:b/>
          <w:color w:val="000000"/>
          <w:sz w:val="44"/>
          <w:szCs w:val="44"/>
        </w:rPr>
        <w:t>2021年政府信息公开工作年度报告</w:t>
      </w:r>
    </w:p>
    <w:p>
      <w:pPr>
        <w:spacing w:line="590" w:lineRule="exact"/>
        <w:ind w:right="-100" w:rightChars="-50" w:firstLine="640" w:firstLineChars="200"/>
        <w:rPr>
          <w:rFonts w:ascii="方正仿宋简体" w:eastAsia="方正仿宋简体"/>
          <w:b/>
          <w:color w:val="000000"/>
          <w:sz w:val="32"/>
          <w:szCs w:val="32"/>
        </w:rPr>
      </w:pPr>
    </w:p>
    <w:p>
      <w:pPr>
        <w:spacing w:line="590" w:lineRule="exact"/>
        <w:ind w:right="-100" w:rightChars="-50" w:firstLine="640"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本报告由</w:t>
      </w:r>
      <w:r>
        <w:rPr>
          <w:rFonts w:hint="eastAsia" w:ascii="方正仿宋简体" w:eastAsia="方正仿宋简体"/>
          <w:b/>
          <w:color w:val="000000"/>
          <w:sz w:val="32"/>
          <w:szCs w:val="32"/>
          <w:lang w:val="en-US" w:eastAsia="zh-CN"/>
        </w:rPr>
        <w:t>济宁市太白湖新区公共资源交易服务中心</w:t>
      </w:r>
      <w:r>
        <w:rPr>
          <w:rFonts w:hint="eastAsia" w:ascii="方正仿宋简体" w:eastAsia="方正仿宋简体"/>
          <w:b/>
          <w:color w:val="000000"/>
          <w:sz w:val="32"/>
          <w:szCs w:val="32"/>
        </w:rPr>
        <w:t>按照《中华人民共和国政府信息公开条例》（以下简称《条例》）和《中华人民共和国政府信息公开工作年度报告格式》（国办公开办函〔2021〕30号）要求编制。</w:t>
      </w:r>
    </w:p>
    <w:p>
      <w:pPr>
        <w:spacing w:line="590" w:lineRule="exact"/>
        <w:ind w:right="-100" w:rightChars="-50" w:firstLine="640"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0"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本报告所列数据的统计期限自2021年1月1日起至2021年12月31日止。本报告电子版可在“中国·济宁”政府门户网站（具体网址）查阅或下载。如对本报告有疑问，请与</w:t>
      </w:r>
      <w:r>
        <w:rPr>
          <w:rFonts w:hint="eastAsia" w:ascii="方正仿宋简体" w:eastAsia="方正仿宋简体"/>
          <w:b/>
          <w:color w:val="000000"/>
          <w:sz w:val="32"/>
          <w:szCs w:val="32"/>
          <w:lang w:val="en-US" w:eastAsia="zh-CN"/>
        </w:rPr>
        <w:t>济宁市太白湖新区公共资源交易服务中心</w:t>
      </w:r>
      <w:r>
        <w:rPr>
          <w:rFonts w:hint="eastAsia" w:ascii="方正仿宋简体" w:eastAsia="方正仿宋简体"/>
          <w:b/>
          <w:color w:val="000000"/>
          <w:sz w:val="32"/>
          <w:szCs w:val="32"/>
        </w:rPr>
        <w:t>联系（地址：</w:t>
      </w:r>
      <w:r>
        <w:rPr>
          <w:rFonts w:hint="eastAsia" w:ascii="方正仿宋简体" w:eastAsia="方正仿宋简体"/>
          <w:b/>
          <w:color w:val="000000"/>
          <w:sz w:val="32"/>
          <w:szCs w:val="32"/>
          <w:lang w:val="en-US" w:eastAsia="zh-CN"/>
        </w:rPr>
        <w:t>济宁太白湖新区新城发展大厦A座二楼二区</w:t>
      </w:r>
      <w:r>
        <w:rPr>
          <w:rFonts w:hint="eastAsia" w:ascii="方正仿宋简体" w:eastAsia="方正仿宋简体"/>
          <w:b/>
          <w:color w:val="000000"/>
          <w:sz w:val="32"/>
          <w:szCs w:val="32"/>
        </w:rPr>
        <w:t>，联系电话：0537-</w:t>
      </w:r>
      <w:r>
        <w:rPr>
          <w:rFonts w:hint="eastAsia" w:ascii="方正仿宋简体" w:eastAsia="方正仿宋简体"/>
          <w:b/>
          <w:color w:val="000000"/>
          <w:sz w:val="32"/>
          <w:szCs w:val="32"/>
          <w:lang w:val="en-US" w:eastAsia="zh-CN"/>
        </w:rPr>
        <w:t>6568101</w:t>
      </w:r>
      <w:r>
        <w:rPr>
          <w:rFonts w:hint="eastAsia" w:ascii="方正仿宋简体" w:eastAsia="方正仿宋简体"/>
          <w:b/>
          <w:color w:val="000000"/>
          <w:sz w:val="32"/>
          <w:szCs w:val="32"/>
        </w:rPr>
        <w:t>）。</w:t>
      </w:r>
    </w:p>
    <w:p>
      <w:pPr>
        <w:spacing w:line="590" w:lineRule="exact"/>
        <w:ind w:right="-100" w:rightChars="-50" w:firstLine="640" w:firstLineChars="200"/>
        <w:rPr>
          <w:rFonts w:ascii="方正黑体简体" w:eastAsia="方正黑体简体"/>
          <w:b/>
          <w:color w:val="000000"/>
          <w:sz w:val="32"/>
          <w:szCs w:val="32"/>
        </w:rPr>
      </w:pPr>
      <w:r>
        <w:rPr>
          <w:rFonts w:hint="eastAsia" w:ascii="方正黑体简体" w:eastAsia="方正黑体简体"/>
          <w:b/>
          <w:color w:val="000000"/>
          <w:sz w:val="32"/>
          <w:szCs w:val="32"/>
        </w:rPr>
        <w:t>一、总体情况</w:t>
      </w:r>
    </w:p>
    <w:p>
      <w:pPr>
        <w:spacing w:line="590" w:lineRule="exact"/>
        <w:ind w:right="-100" w:rightChars="-50" w:firstLine="640" w:firstLineChars="200"/>
        <w:rPr>
          <w:rFonts w:hint="default"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2021年，在区党工委、管委会的正确领导下，</w:t>
      </w:r>
      <w:r>
        <w:rPr>
          <w:rStyle w:val="6"/>
          <w:rFonts w:ascii="方正仿宋简体" w:hAnsi="方正仿宋简体" w:eastAsia="方正仿宋简体" w:cs="方正仿宋简体"/>
          <w:b/>
          <w:bCs/>
          <w:i w:val="0"/>
          <w:iCs w:val="0"/>
          <w:caps w:val="0"/>
          <w:color w:val="000000"/>
          <w:spacing w:val="0"/>
          <w:sz w:val="31"/>
          <w:szCs w:val="31"/>
        </w:rPr>
        <w:t>认真贯彻落实新修订的《中华人民共和国政府信息公开条例》及</w:t>
      </w:r>
      <w:r>
        <w:rPr>
          <w:rStyle w:val="6"/>
          <w:rFonts w:hint="eastAsia" w:ascii="方正仿宋简体" w:hAnsi="方正仿宋简体" w:eastAsia="方正仿宋简体" w:cs="方正仿宋简体"/>
          <w:b/>
          <w:bCs/>
          <w:i w:val="0"/>
          <w:iCs w:val="0"/>
          <w:caps w:val="0"/>
          <w:color w:val="000000"/>
          <w:spacing w:val="0"/>
          <w:sz w:val="31"/>
          <w:szCs w:val="31"/>
          <w:lang w:val="en-US" w:eastAsia="zh-CN"/>
        </w:rPr>
        <w:t>省、</w:t>
      </w:r>
      <w:r>
        <w:rPr>
          <w:rStyle w:val="6"/>
          <w:rFonts w:ascii="方正仿宋简体" w:hAnsi="方正仿宋简体" w:eastAsia="方正仿宋简体" w:cs="方正仿宋简体"/>
          <w:b/>
          <w:bCs/>
          <w:i w:val="0"/>
          <w:iCs w:val="0"/>
          <w:caps w:val="0"/>
          <w:color w:val="000000"/>
          <w:spacing w:val="0"/>
          <w:sz w:val="31"/>
          <w:szCs w:val="31"/>
        </w:rPr>
        <w:t>市、区关于全面推进政务公开的决策部署，</w:t>
      </w:r>
      <w:r>
        <w:rPr>
          <w:rStyle w:val="6"/>
          <w:rFonts w:hint="eastAsia" w:ascii="方正仿宋简体" w:hAnsi="方正仿宋简体" w:eastAsia="方正仿宋简体" w:cs="方正仿宋简体"/>
          <w:b/>
          <w:bCs/>
          <w:i w:val="0"/>
          <w:iCs w:val="0"/>
          <w:caps w:val="0"/>
          <w:color w:val="000000"/>
          <w:spacing w:val="0"/>
          <w:sz w:val="31"/>
          <w:szCs w:val="31"/>
          <w:lang w:val="en-US" w:eastAsia="zh-CN"/>
        </w:rPr>
        <w:t>进一步</w:t>
      </w:r>
      <w:r>
        <w:rPr>
          <w:rStyle w:val="6"/>
          <w:rFonts w:ascii="方正仿宋简体" w:hAnsi="方正仿宋简体" w:eastAsia="方正仿宋简体" w:cs="方正仿宋简体"/>
          <w:b/>
          <w:bCs/>
          <w:i w:val="0"/>
          <w:iCs w:val="0"/>
          <w:caps w:val="0"/>
          <w:color w:val="000000"/>
          <w:spacing w:val="0"/>
          <w:sz w:val="31"/>
          <w:szCs w:val="31"/>
        </w:rPr>
        <w:t>细化工作任务，加大公开力度，健全政府信息公开工作机制，有效提高了政府信息公开工作水平。</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（一）主动公开情况</w:t>
      </w:r>
    </w:p>
    <w:p>
      <w:pPr>
        <w:spacing w:line="590" w:lineRule="exact"/>
        <w:ind w:right="-100" w:rightChars="-50" w:firstLine="640"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rPr>
        <w:t>为切实推进政府信息公开工作，根据上级要求，进一步加大公开力度，拓宽公开渠道，创新公开形式，通过</w:t>
      </w:r>
      <w:r>
        <w:rPr>
          <w:rFonts w:hint="eastAsia" w:ascii="方正仿宋简体" w:eastAsia="方正仿宋简体"/>
          <w:b/>
          <w:color w:val="000000"/>
          <w:sz w:val="32"/>
          <w:szCs w:val="32"/>
          <w:lang w:val="en-US" w:eastAsia="zh-CN"/>
        </w:rPr>
        <w:t>济宁市太白湖新区管委会</w:t>
      </w:r>
      <w:r>
        <w:rPr>
          <w:rFonts w:hint="eastAsia" w:ascii="方正仿宋简体" w:eastAsia="方正仿宋简体"/>
          <w:b/>
          <w:color w:val="000000"/>
          <w:sz w:val="32"/>
          <w:szCs w:val="32"/>
        </w:rPr>
        <w:t>门户网站、</w:t>
      </w:r>
      <w:r>
        <w:rPr>
          <w:rFonts w:hint="eastAsia" w:ascii="方正仿宋简体" w:eastAsia="方正仿宋简体"/>
          <w:b/>
          <w:color w:val="000000"/>
          <w:sz w:val="32"/>
          <w:szCs w:val="32"/>
          <w:lang w:val="en-US" w:eastAsia="zh-CN"/>
        </w:rPr>
        <w:t>济宁市</w:t>
      </w:r>
      <w:r>
        <w:rPr>
          <w:rFonts w:hint="eastAsia" w:ascii="方正仿宋简体" w:eastAsia="方正仿宋简体"/>
          <w:b/>
          <w:color w:val="000000"/>
          <w:sz w:val="32"/>
          <w:szCs w:val="32"/>
        </w:rPr>
        <w:t>市公共资源交易中心网站等渠道，主动、及时发布和更新政务信息。为需要公共资源交易信息的</w:t>
      </w:r>
      <w:r>
        <w:rPr>
          <w:rFonts w:hint="eastAsia" w:ascii="方正仿宋简体" w:eastAsia="方正仿宋简体"/>
          <w:b/>
          <w:color w:val="000000"/>
          <w:sz w:val="32"/>
          <w:szCs w:val="32"/>
          <w:lang w:val="en-US" w:eastAsia="zh-CN"/>
        </w:rPr>
        <w:t>企业、</w:t>
      </w:r>
      <w:r>
        <w:rPr>
          <w:rFonts w:hint="eastAsia" w:ascii="方正仿宋简体" w:eastAsia="方正仿宋简体"/>
          <w:b/>
          <w:color w:val="000000"/>
          <w:sz w:val="32"/>
          <w:szCs w:val="32"/>
        </w:rPr>
        <w:t>群众提供快捷、方便的服务，使人民群众可以直接上网就可以了解相关建设工程招投标</w:t>
      </w:r>
      <w:r>
        <w:rPr>
          <w:rFonts w:hint="eastAsia" w:ascii="方正仿宋简体" w:eastAsia="方正仿宋简体"/>
          <w:b/>
          <w:color w:val="000000"/>
          <w:sz w:val="32"/>
          <w:szCs w:val="32"/>
          <w:lang w:eastAsia="zh-CN"/>
        </w:rPr>
        <w:t>、</w:t>
      </w:r>
      <w:r>
        <w:rPr>
          <w:rFonts w:hint="eastAsia" w:ascii="方正仿宋简体" w:eastAsia="方正仿宋简体"/>
          <w:b/>
          <w:color w:val="000000"/>
          <w:sz w:val="32"/>
          <w:szCs w:val="32"/>
        </w:rPr>
        <w:t>政府采购</w:t>
      </w:r>
      <w:r>
        <w:rPr>
          <w:rFonts w:hint="eastAsia" w:ascii="方正仿宋简体" w:eastAsia="方正仿宋简体"/>
          <w:b/>
          <w:color w:val="000000"/>
          <w:sz w:val="32"/>
          <w:szCs w:val="32"/>
          <w:lang w:val="en-US" w:eastAsia="zh-CN"/>
        </w:rPr>
        <w:t>信息</w:t>
      </w:r>
      <w:r>
        <w:rPr>
          <w:rFonts w:hint="eastAsia" w:ascii="方正仿宋简体" w:eastAsia="方正仿宋简体"/>
          <w:b/>
          <w:color w:val="000000"/>
          <w:sz w:val="32"/>
          <w:szCs w:val="32"/>
        </w:rPr>
        <w:t>。20</w:t>
      </w:r>
      <w:r>
        <w:rPr>
          <w:rFonts w:hint="eastAsia" w:ascii="方正仿宋简体" w:eastAsia="方正仿宋简体"/>
          <w:b/>
          <w:color w:val="000000"/>
          <w:sz w:val="32"/>
          <w:szCs w:val="32"/>
          <w:lang w:val="en-US" w:eastAsia="zh-CN"/>
        </w:rPr>
        <w:t>21</w:t>
      </w:r>
      <w:r>
        <w:rPr>
          <w:rFonts w:hint="eastAsia" w:ascii="方正仿宋简体" w:eastAsia="方正仿宋简体"/>
          <w:b/>
          <w:color w:val="000000"/>
          <w:sz w:val="32"/>
          <w:szCs w:val="32"/>
        </w:rPr>
        <w:t>年度，中心对外公开信息总计</w:t>
      </w:r>
      <w:r>
        <w:rPr>
          <w:rFonts w:hint="eastAsia" w:ascii="方正仿宋简体" w:eastAsia="方正仿宋简体"/>
          <w:b/>
          <w:color w:val="000000"/>
          <w:sz w:val="32"/>
          <w:szCs w:val="32"/>
          <w:lang w:val="en-US" w:eastAsia="zh-CN"/>
        </w:rPr>
        <w:t>373</w:t>
      </w:r>
      <w:r>
        <w:rPr>
          <w:rFonts w:hint="eastAsia" w:ascii="方正仿宋简体" w:eastAsia="方正仿宋简体"/>
          <w:b/>
          <w:color w:val="000000"/>
          <w:sz w:val="32"/>
          <w:szCs w:val="32"/>
        </w:rPr>
        <w:t>条。20</w:t>
      </w:r>
      <w:r>
        <w:rPr>
          <w:rFonts w:hint="eastAsia" w:ascii="方正仿宋简体" w:eastAsia="方正仿宋简体"/>
          <w:b/>
          <w:color w:val="000000"/>
          <w:sz w:val="32"/>
          <w:szCs w:val="32"/>
          <w:lang w:val="en-US" w:eastAsia="zh-CN"/>
        </w:rPr>
        <w:t>21</w:t>
      </w:r>
      <w:r>
        <w:rPr>
          <w:rFonts w:hint="eastAsia" w:ascii="方正仿宋简体" w:eastAsia="方正仿宋简体"/>
          <w:b/>
          <w:color w:val="000000"/>
          <w:sz w:val="32"/>
          <w:szCs w:val="32"/>
        </w:rPr>
        <w:t>年度公开信息中，通过</w:t>
      </w:r>
      <w:r>
        <w:rPr>
          <w:rFonts w:hint="eastAsia" w:ascii="方正仿宋简体" w:eastAsia="方正仿宋简体"/>
          <w:b/>
          <w:color w:val="000000"/>
          <w:sz w:val="32"/>
          <w:szCs w:val="32"/>
          <w:lang w:val="en-US" w:eastAsia="zh-CN"/>
        </w:rPr>
        <w:t>济宁市太白湖新区管委会</w:t>
      </w:r>
      <w:r>
        <w:rPr>
          <w:rFonts w:hint="eastAsia" w:ascii="方正仿宋简体" w:eastAsia="方正仿宋简体"/>
          <w:b/>
          <w:color w:val="000000"/>
          <w:sz w:val="32"/>
          <w:szCs w:val="32"/>
        </w:rPr>
        <w:t>门户网站</w:t>
      </w:r>
      <w:r>
        <w:rPr>
          <w:rFonts w:hint="eastAsia" w:ascii="方正仿宋简体" w:eastAsia="方正仿宋简体"/>
          <w:b/>
          <w:color w:val="000000"/>
          <w:sz w:val="32"/>
          <w:szCs w:val="32"/>
          <w:lang w:val="en-US" w:eastAsia="zh-CN"/>
        </w:rPr>
        <w:t>公开信息2条，其中</w:t>
      </w:r>
      <w:r>
        <w:rPr>
          <w:rFonts w:hint="eastAsia" w:ascii="方正仿宋简体" w:eastAsia="方正仿宋简体"/>
          <w:b/>
          <w:color w:val="000000"/>
          <w:sz w:val="32"/>
          <w:szCs w:val="32"/>
        </w:rPr>
        <w:t>预决算财务公开</w:t>
      </w:r>
      <w:r>
        <w:rPr>
          <w:rFonts w:hint="eastAsia" w:ascii="方正仿宋简体" w:eastAsia="方正仿宋简体"/>
          <w:b/>
          <w:color w:val="000000"/>
          <w:sz w:val="32"/>
          <w:szCs w:val="32"/>
          <w:lang w:val="en-US" w:eastAsia="zh-CN"/>
        </w:rPr>
        <w:t>2</w:t>
      </w:r>
      <w:r>
        <w:rPr>
          <w:rFonts w:hint="eastAsia" w:ascii="方正仿宋简体" w:eastAsia="方正仿宋简体"/>
          <w:b/>
          <w:color w:val="000000"/>
          <w:sz w:val="32"/>
          <w:szCs w:val="32"/>
        </w:rPr>
        <w:t>条</w:t>
      </w:r>
      <w:r>
        <w:rPr>
          <w:rFonts w:hint="eastAsia" w:ascii="方正仿宋简体" w:eastAsia="方正仿宋简体"/>
          <w:b/>
          <w:color w:val="000000"/>
          <w:sz w:val="32"/>
          <w:szCs w:val="32"/>
          <w:lang w:eastAsia="zh-CN"/>
        </w:rPr>
        <w:t>；</w:t>
      </w:r>
      <w:r>
        <w:rPr>
          <w:rFonts w:hint="eastAsia" w:ascii="方正仿宋简体" w:eastAsia="方正仿宋简体"/>
          <w:b/>
          <w:color w:val="000000"/>
          <w:sz w:val="32"/>
          <w:szCs w:val="32"/>
          <w:lang w:val="en-US" w:eastAsia="zh-CN"/>
        </w:rPr>
        <w:t>通过济宁</w:t>
      </w:r>
      <w:r>
        <w:rPr>
          <w:rFonts w:hint="eastAsia" w:ascii="方正仿宋简体" w:eastAsia="方正仿宋简体"/>
          <w:b/>
          <w:color w:val="000000"/>
          <w:sz w:val="32"/>
          <w:szCs w:val="32"/>
        </w:rPr>
        <w:t>市公共资源交易中心网</w:t>
      </w:r>
      <w:r>
        <w:rPr>
          <w:rFonts w:hint="eastAsia" w:ascii="方正仿宋简体" w:eastAsia="方正仿宋简体"/>
          <w:b/>
          <w:color w:val="000000"/>
          <w:sz w:val="32"/>
          <w:szCs w:val="32"/>
          <w:lang w:val="en-US" w:eastAsia="zh-CN"/>
        </w:rPr>
        <w:t>发布信息371条，其中</w:t>
      </w:r>
      <w:r>
        <w:rPr>
          <w:rFonts w:hint="eastAsia" w:ascii="方正仿宋简体" w:eastAsia="方正仿宋简体"/>
          <w:b/>
          <w:color w:val="000000"/>
          <w:sz w:val="32"/>
          <w:szCs w:val="32"/>
        </w:rPr>
        <w:t>建设工程招投标</w:t>
      </w:r>
      <w:r>
        <w:rPr>
          <w:rFonts w:hint="eastAsia" w:ascii="方正仿宋简体" w:eastAsia="方正仿宋简体"/>
          <w:b/>
          <w:color w:val="000000"/>
          <w:sz w:val="32"/>
          <w:szCs w:val="32"/>
          <w:lang w:val="en-US" w:eastAsia="zh-CN"/>
        </w:rPr>
        <w:t xml:space="preserve"> 141</w:t>
      </w:r>
      <w:r>
        <w:rPr>
          <w:rFonts w:hint="eastAsia" w:ascii="方正仿宋简体" w:eastAsia="方正仿宋简体"/>
          <w:b/>
          <w:color w:val="000000"/>
          <w:sz w:val="32"/>
          <w:szCs w:val="32"/>
        </w:rPr>
        <w:t>条</w:t>
      </w:r>
      <w:r>
        <w:rPr>
          <w:rFonts w:hint="eastAsia" w:ascii="方正仿宋简体" w:eastAsia="方正仿宋简体"/>
          <w:b/>
          <w:color w:val="000000"/>
          <w:sz w:val="32"/>
          <w:szCs w:val="32"/>
          <w:lang w:eastAsia="zh-CN"/>
        </w:rPr>
        <w:t>、</w:t>
      </w:r>
      <w:r>
        <w:rPr>
          <w:rFonts w:hint="eastAsia" w:ascii="方正仿宋简体" w:eastAsia="方正仿宋简体"/>
          <w:b/>
          <w:color w:val="000000"/>
          <w:sz w:val="32"/>
          <w:szCs w:val="32"/>
        </w:rPr>
        <w:t>政府采购类</w:t>
      </w:r>
      <w:r>
        <w:rPr>
          <w:rFonts w:hint="eastAsia" w:ascii="方正仿宋简体" w:eastAsia="方正仿宋简体"/>
          <w:b/>
          <w:color w:val="000000"/>
          <w:sz w:val="32"/>
          <w:szCs w:val="32"/>
          <w:lang w:val="en-US" w:eastAsia="zh-CN"/>
        </w:rPr>
        <w:t>204</w:t>
      </w:r>
      <w:r>
        <w:rPr>
          <w:rFonts w:hint="eastAsia" w:ascii="方正仿宋简体" w:eastAsia="方正仿宋简体"/>
          <w:b/>
          <w:color w:val="000000"/>
          <w:sz w:val="32"/>
          <w:szCs w:val="32"/>
        </w:rPr>
        <w:t>条、</w:t>
      </w:r>
      <w:r>
        <w:rPr>
          <w:rFonts w:hint="eastAsia" w:ascii="方正仿宋简体" w:eastAsia="方正仿宋简体"/>
          <w:b/>
          <w:color w:val="000000"/>
          <w:sz w:val="32"/>
          <w:szCs w:val="32"/>
          <w:lang w:val="en-US" w:eastAsia="zh-CN"/>
        </w:rPr>
        <w:t>营商环境类26条。</w:t>
      </w:r>
    </w:p>
    <w:p>
      <w:pPr>
        <w:pStyle w:val="2"/>
        <w:rPr>
          <w:rFonts w:hint="default"/>
          <w:lang w:val="en-US" w:eastAsia="zh-CN"/>
        </w:rPr>
      </w:pPr>
      <w:r>
        <w:rPr>
          <w:rFonts w:hint="eastAsia" w:ascii="方正仿宋简体" w:eastAsia="方正仿宋简体"/>
          <w:b/>
          <w:color w:val="000000"/>
          <w:sz w:val="32"/>
          <w:szCs w:val="32"/>
          <w:lang w:val="en-US" w:eastAsia="zh-CN"/>
        </w:rPr>
        <w:t xml:space="preserve">    </w:t>
      </w:r>
    </w:p>
    <w:p>
      <w:pPr>
        <w:pStyle w:val="2"/>
        <w:rPr>
          <w:rFonts w:hint="default"/>
          <w:lang w:val="en-US" w:eastAsia="zh-CN"/>
        </w:rPr>
      </w:pPr>
      <w:r>
        <w:rPr>
          <w:rFonts w:hint="eastAsia"/>
          <w:lang w:val="en-US" w:eastAsia="zh-CN"/>
        </w:rPr>
        <w:t xml:space="preserve">      </w:t>
      </w:r>
      <w:r>
        <w:rPr>
          <w:rFonts w:hint="default"/>
          <w:lang w:val="en-US" w:eastAsia="zh-CN"/>
        </w:rPr>
        <w:drawing>
          <wp:inline distT="0" distB="0" distL="114300" distR="114300">
            <wp:extent cx="4581525" cy="2752725"/>
            <wp:effectExtent l="0" t="0" r="9525" b="9525"/>
            <wp:docPr id="1" name="图片 1" descr="a9745b1ee3aeab13975dee004a67a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9745b1ee3aeab13975dee004a67a14"/>
                    <pic:cNvPicPr>
                      <a:picLocks noChangeAspect="1"/>
                    </pic:cNvPicPr>
                  </pic:nvPicPr>
                  <pic:blipFill>
                    <a:blip r:embed="rId4"/>
                    <a:stretch>
                      <a:fillRect/>
                    </a:stretch>
                  </pic:blipFill>
                  <pic:spPr>
                    <a:xfrm>
                      <a:off x="0" y="0"/>
                      <a:ext cx="4581525" cy="2752725"/>
                    </a:xfrm>
                    <a:prstGeom prst="rect">
                      <a:avLst/>
                    </a:prstGeom>
                  </pic:spPr>
                </pic:pic>
              </a:graphicData>
            </a:graphic>
          </wp:inline>
        </w:drawing>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（二）依申请公开情况</w:t>
      </w:r>
    </w:p>
    <w:p>
      <w:pPr>
        <w:spacing w:line="590" w:lineRule="exact"/>
        <w:ind w:right="-100" w:rightChars="-50" w:firstLine="640"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2021年太白湖新区公共资源交易服务中心没有收到依申请公开政府信息。</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（三）政府信息管理情况</w:t>
      </w:r>
    </w:p>
    <w:p>
      <w:pPr>
        <w:spacing w:line="590" w:lineRule="exact"/>
        <w:ind w:right="-100" w:rightChars="-50" w:firstLine="640"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lang w:val="en-US" w:eastAsia="zh-CN"/>
        </w:rPr>
        <w:t>一是加强组织领导。中心高度重视政府信息公开工作，把政府信息公开工作纳入中心重点工作，主要领导亲自抓，分管领导具体抓，明确综合科为具体承办科室，指定工作人员兼职负责政府信息公开工作,切实加强对政府信息公开工作的常态化管理和检查，各科室在职责范围内提供信息公开各项业务资料。</w:t>
      </w:r>
    </w:p>
    <w:p>
      <w:pPr>
        <w:spacing w:line="590" w:lineRule="exact"/>
        <w:ind w:right="-100" w:rightChars="-50" w:firstLine="640"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lang w:val="en-US" w:eastAsia="zh-CN"/>
        </w:rPr>
        <w:t>二是做好信息公开工作。对应当主动公开的政府信息，列入主动公开信息目录，及时向社会公开。如年度财政预算决算、“三公经费”、等社会公众普遍敏感的信息，做到有事项必公开，以保证社会公众和中心干部职工的知情权、参与权和监督权。</w:t>
      </w:r>
    </w:p>
    <w:p>
      <w:pPr>
        <w:spacing w:line="590" w:lineRule="exact"/>
        <w:ind w:right="-100" w:rightChars="-50" w:firstLine="640"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lang w:val="en-US" w:eastAsia="zh-CN"/>
        </w:rPr>
        <w:t>三是强化政府信息公开审查制度。对需要对外公开的政府信息由专业人员草拟后先交科室负责人审核，再报分管领导审批同意后方可公开。</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（四）政府信息公开平台建设情况</w:t>
      </w:r>
    </w:p>
    <w:p>
      <w:pPr>
        <w:numPr>
          <w:ilvl w:val="0"/>
          <w:numId w:val="0"/>
        </w:numPr>
        <w:spacing w:line="590" w:lineRule="exact"/>
        <w:ind w:right="-100" w:rightChars="-50" w:firstLine="640" w:firstLineChars="200"/>
        <w:rPr>
          <w:rFonts w:hint="eastAsia" w:ascii="方正楷体简体" w:eastAsia="方正楷体简体"/>
          <w:b/>
          <w:color w:val="000000"/>
          <w:sz w:val="32"/>
          <w:szCs w:val="32"/>
        </w:rPr>
      </w:pPr>
      <w:r>
        <w:rPr>
          <w:rFonts w:hint="eastAsia" w:ascii="方正仿宋简体" w:eastAsia="方正仿宋简体"/>
          <w:b/>
          <w:color w:val="000000"/>
          <w:sz w:val="32"/>
          <w:szCs w:val="32"/>
        </w:rPr>
        <w:t>中心通过</w:t>
      </w:r>
      <w:r>
        <w:rPr>
          <w:rFonts w:hint="eastAsia" w:ascii="方正仿宋简体" w:eastAsia="方正仿宋简体"/>
          <w:b/>
          <w:color w:val="000000"/>
          <w:sz w:val="32"/>
          <w:szCs w:val="32"/>
          <w:lang w:val="en-US" w:eastAsia="zh-CN"/>
        </w:rPr>
        <w:t>济宁市太白湖新区管委会</w:t>
      </w:r>
      <w:r>
        <w:rPr>
          <w:rFonts w:hint="eastAsia" w:ascii="方正仿宋简体" w:eastAsia="方正仿宋简体"/>
          <w:b/>
          <w:color w:val="000000"/>
          <w:sz w:val="32"/>
          <w:szCs w:val="32"/>
        </w:rPr>
        <w:t>门户网站、</w:t>
      </w:r>
      <w:r>
        <w:rPr>
          <w:rFonts w:hint="eastAsia" w:ascii="方正仿宋简体" w:eastAsia="方正仿宋简体"/>
          <w:b/>
          <w:color w:val="000000"/>
          <w:sz w:val="32"/>
          <w:szCs w:val="32"/>
          <w:lang w:val="en-US" w:eastAsia="zh-CN"/>
        </w:rPr>
        <w:t>济宁市</w:t>
      </w:r>
      <w:r>
        <w:rPr>
          <w:rFonts w:hint="eastAsia" w:ascii="方正仿宋简体" w:eastAsia="方正仿宋简体"/>
          <w:b/>
          <w:color w:val="000000"/>
          <w:sz w:val="32"/>
          <w:szCs w:val="32"/>
        </w:rPr>
        <w:t>市公共资源交易中心网站等</w:t>
      </w:r>
      <w:r>
        <w:rPr>
          <w:rFonts w:hint="eastAsia" w:ascii="方正仿宋简体" w:eastAsia="方正仿宋简体"/>
          <w:b/>
          <w:color w:val="000000"/>
          <w:sz w:val="32"/>
          <w:szCs w:val="32"/>
          <w:lang w:val="en-US" w:eastAsia="zh-CN"/>
        </w:rPr>
        <w:t>多</w:t>
      </w:r>
      <w:r>
        <w:rPr>
          <w:rFonts w:hint="eastAsia" w:ascii="方正仿宋简体" w:eastAsia="方正仿宋简体"/>
          <w:b/>
          <w:color w:val="000000"/>
          <w:sz w:val="32"/>
          <w:szCs w:val="32"/>
        </w:rPr>
        <w:t>渠道，主动、及时发布和更新政务信息。</w:t>
      </w:r>
    </w:p>
    <w:p>
      <w:pPr>
        <w:numPr>
          <w:ilvl w:val="0"/>
          <w:numId w:val="1"/>
        </w:numPr>
        <w:spacing w:line="590" w:lineRule="exact"/>
        <w:ind w:right="-100" w:rightChars="-50" w:firstLine="643" w:firstLineChars="200"/>
        <w:rPr>
          <w:rFonts w:hint="eastAsia" w:ascii="方正楷体简体" w:eastAsia="方正楷体简体"/>
          <w:b/>
          <w:color w:val="000000"/>
          <w:sz w:val="32"/>
          <w:szCs w:val="32"/>
        </w:rPr>
      </w:pPr>
      <w:r>
        <w:rPr>
          <w:rFonts w:hint="eastAsia" w:ascii="方正楷体简体" w:eastAsia="方正楷体简体"/>
          <w:b/>
          <w:color w:val="000000"/>
          <w:sz w:val="32"/>
          <w:szCs w:val="32"/>
        </w:rPr>
        <w:t>监督保障情况</w:t>
      </w:r>
    </w:p>
    <w:p>
      <w:pPr>
        <w:pStyle w:val="2"/>
        <w:numPr>
          <w:ilvl w:val="0"/>
          <w:numId w:val="0"/>
        </w:numPr>
        <w:ind w:firstLine="640" w:firstLineChars="200"/>
        <w:rPr>
          <w:rFonts w:hint="default"/>
          <w:lang w:val="en-US" w:eastAsia="zh-CN"/>
        </w:rPr>
      </w:pPr>
      <w:r>
        <w:rPr>
          <w:rFonts w:hint="eastAsia" w:ascii="方正仿宋简体" w:hAnsi="Times New Roman" w:eastAsia="方正仿宋简体" w:cs="Times New Roman"/>
          <w:b/>
          <w:color w:val="000000"/>
          <w:sz w:val="32"/>
          <w:szCs w:val="32"/>
          <w:lang w:val="en-US" w:eastAsia="zh-CN" w:bidi="ar-SA"/>
        </w:rPr>
        <w:t>一是</w:t>
      </w:r>
      <w:r>
        <w:rPr>
          <w:rFonts w:hint="eastAsia" w:ascii="方正仿宋简体" w:eastAsia="方正仿宋简体" w:cs="Times New Roman"/>
          <w:b/>
          <w:color w:val="000000"/>
          <w:sz w:val="32"/>
          <w:szCs w:val="32"/>
          <w:lang w:val="en-US" w:eastAsia="zh-CN" w:bidi="ar-SA"/>
        </w:rPr>
        <w:t>强化责任。及时成立中心政府信息和政务公开工作领导小组，明确分工，责任到人；二是完善体系。在具体工作中，做到政务公开工作与业务工作同步进行，各科室密切配合；三是加强培训。定期组织中心具体负责政务公开业务工作人员和各科室负责人开展对政务公开工作的业务培训，进一步创新工作方式，稳步提高工作人员政务公开意识。</w:t>
      </w:r>
    </w:p>
    <w:p>
      <w:pPr>
        <w:spacing w:line="590" w:lineRule="exact"/>
        <w:ind w:right="-100" w:rightChars="-50" w:firstLine="640" w:firstLineChars="200"/>
        <w:rPr>
          <w:rFonts w:ascii="方正黑体简体" w:eastAsia="方正黑体简体"/>
          <w:b/>
          <w:color w:val="000000"/>
          <w:sz w:val="32"/>
          <w:szCs w:val="32"/>
        </w:rPr>
      </w:pPr>
      <w:r>
        <w:rPr>
          <w:rFonts w:hint="eastAsia" w:ascii="方正黑体简体" w:eastAsia="方正黑体简体"/>
          <w:b/>
          <w:color w:val="000000"/>
          <w:sz w:val="32"/>
          <w:szCs w:val="32"/>
        </w:rPr>
        <w:t>二、主动公开政府信息情况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黑体简体" w:eastAsia="方正黑体简体"/>
                <w:b/>
                <w:sz w:val="24"/>
                <w:szCs w:val="24"/>
              </w:rPr>
            </w:pPr>
            <w:r>
              <w:rPr>
                <w:rFonts w:hint="eastAsia" w:ascii="方正黑体简体" w:hAnsi="宋体" w:eastAsia="方正黑体简体" w:cs="宋体"/>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规章</w:t>
            </w:r>
          </w:p>
        </w:tc>
        <w:tc>
          <w:tcPr>
            <w:tcW w:w="2133" w:type="dxa"/>
            <w:shd w:val="clear" w:color="auto" w:fill="FFFFFF"/>
            <w:noWrap w:val="0"/>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 xml:space="preserve">   0</w:t>
            </w:r>
          </w:p>
        </w:tc>
        <w:tc>
          <w:tcPr>
            <w:tcW w:w="2216" w:type="dxa"/>
            <w:shd w:val="clear" w:color="auto" w:fill="FFFFFF"/>
            <w:noWrap w:val="0"/>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 xml:space="preserve">    0</w:t>
            </w:r>
          </w:p>
        </w:tc>
        <w:tc>
          <w:tcPr>
            <w:tcW w:w="1989" w:type="dxa"/>
            <w:shd w:val="clear" w:color="auto" w:fill="FFFFFF"/>
            <w:noWrap w:val="0"/>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bidi="ar"/>
              </w:rPr>
              <w:t> </w:t>
            </w:r>
            <w:r>
              <w:rPr>
                <w:rFonts w:hint="eastAsia" w:ascii="方正仿宋简体" w:hAnsi="Calibri" w:eastAsia="方正仿宋简体" w:cs="Calibri"/>
                <w:b/>
                <w:sz w:val="24"/>
                <w:szCs w:val="24"/>
                <w:lang w:val="en-US" w:eastAsia="zh-CN" w:bidi="ar"/>
              </w:rPr>
              <w:t xml:space="preserv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 xml:space="preserve">   </w:t>
            </w: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 xml:space="preserve">    0</w:t>
            </w:r>
          </w:p>
        </w:tc>
        <w:tc>
          <w:tcPr>
            <w:tcW w:w="1989" w:type="dxa"/>
            <w:shd w:val="clear" w:color="auto" w:fill="FFFFFF"/>
            <w:noWrap w:val="0"/>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bidi="ar"/>
              </w:rPr>
              <w:t> </w:t>
            </w:r>
            <w:r>
              <w:rPr>
                <w:rFonts w:hint="eastAsia" w:ascii="方正仿宋简体" w:hAnsi="Calibri" w:eastAsia="方正仿宋简体" w:cs="Calibri"/>
                <w:b/>
                <w:sz w:val="24"/>
                <w:szCs w:val="24"/>
                <w:lang w:val="en-US" w:eastAsia="zh-CN" w:bidi="ar"/>
              </w:rPr>
              <w:t xml:space="preserv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bidi="ar"/>
              </w:rPr>
              <w:t> </w:t>
            </w:r>
            <w:r>
              <w:rPr>
                <w:rFonts w:hint="eastAsia" w:ascii="方正仿宋简体" w:hAnsi="Calibri" w:eastAsia="方正仿宋简体" w:cs="Calibri"/>
                <w:b/>
                <w:sz w:val="24"/>
                <w:szCs w:val="24"/>
                <w:lang w:val="en-US" w:eastAsia="zh-CN" w:bidi="ar"/>
              </w:rPr>
              <w:t xml:space="preserv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行政处罚</w:t>
            </w:r>
          </w:p>
        </w:tc>
        <w:tc>
          <w:tcPr>
            <w:tcW w:w="6338" w:type="dxa"/>
            <w:gridSpan w:val="3"/>
            <w:shd w:val="clear" w:color="auto" w:fill="FFFFFF"/>
            <w:noWrap w:val="0"/>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 xml:space="preserv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行政强制</w:t>
            </w:r>
          </w:p>
        </w:tc>
        <w:tc>
          <w:tcPr>
            <w:tcW w:w="6338" w:type="dxa"/>
            <w:gridSpan w:val="3"/>
            <w:shd w:val="clear" w:color="auto" w:fill="FFFFFF"/>
            <w:noWrap w:val="0"/>
            <w:tcMar>
              <w:left w:w="57" w:type="dxa"/>
              <w:right w:w="57" w:type="dxa"/>
            </w:tcMar>
            <w:vAlign w:val="center"/>
          </w:tcPr>
          <w:p>
            <w:pPr>
              <w:widowControl/>
              <w:spacing w:line="340" w:lineRule="exact"/>
              <w:ind w:firstLine="2161" w:firstLineChars="900"/>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ind w:firstLine="2401" w:firstLineChars="1000"/>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r>
    </w:tbl>
    <w:p>
      <w:pPr>
        <w:spacing w:before="62" w:beforeLines="10" w:after="62" w:afterLines="10" w:line="600" w:lineRule="exact"/>
        <w:ind w:firstLine="640"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4"/>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599"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noWrap w:val="0"/>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ind w:firstLine="210" w:firstLineChars="100"/>
              <w:jc w:val="both"/>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bookmarkStart w:id="0" w:name="_GoBack"/>
            <w:bookmarkEnd w:id="0"/>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bl>
    <w:p>
      <w:pPr>
        <w:spacing w:line="590" w:lineRule="exact"/>
        <w:ind w:right="-100" w:rightChars="-50" w:firstLine="640"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4"/>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b/>
                <w:sz w:val="21"/>
                <w:szCs w:val="21"/>
                <w:lang w:bidi="ar"/>
              </w:rPr>
            </w:pPr>
            <w:r>
              <w:rPr>
                <w:rFonts w:hint="eastAsia" w:ascii="方正黑体简体" w:hAnsi="宋体" w:eastAsia="方正黑体简体" w:cs="宋体"/>
                <w:b/>
                <w:sz w:val="21"/>
                <w:szCs w:val="21"/>
                <w:lang w:bidi="ar"/>
              </w:rPr>
              <w:t>结果</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r>
              <w:rPr>
                <w:rFonts w:hint="eastAsia" w:ascii="方正黑体简体" w:hAnsi="宋体" w:eastAsia="方正黑体简体" w:cs="黑体"/>
                <w:b/>
                <w:sz w:val="21"/>
                <w:szCs w:val="21"/>
                <w:lang w:bidi="ar"/>
              </w:rPr>
              <w:t> </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r>
              <w:rPr>
                <w:rFonts w:hint="eastAsia" w:ascii="方正黑体简体" w:hAnsi="宋体" w:eastAsia="方正黑体简体" w:cs="黑体"/>
                <w:b/>
                <w:sz w:val="21"/>
                <w:szCs w:val="21"/>
                <w:lang w:bidi="ar"/>
              </w:rPr>
              <w:t> </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eastAsia="方正黑体简体"/>
                <w:b/>
                <w:sz w:val="21"/>
                <w:szCs w:val="21"/>
                <w:lang w:val="en-US" w:eastAsia="zh-CN"/>
              </w:rPr>
              <w:t>0</w:t>
            </w:r>
          </w:p>
        </w:tc>
      </w:tr>
    </w:tbl>
    <w:p>
      <w:pPr>
        <w:numPr>
          <w:ilvl w:val="0"/>
          <w:numId w:val="2"/>
        </w:numPr>
        <w:spacing w:line="590" w:lineRule="exact"/>
        <w:ind w:right="-100" w:rightChars="-50" w:firstLine="640" w:firstLineChars="200"/>
        <w:rPr>
          <w:rFonts w:hint="eastAsia" w:ascii="方正黑体简体" w:eastAsia="方正黑体简体"/>
          <w:b/>
          <w:sz w:val="32"/>
          <w:szCs w:val="32"/>
        </w:rPr>
      </w:pPr>
      <w:r>
        <w:rPr>
          <w:rFonts w:hint="eastAsia" w:ascii="方正黑体简体" w:eastAsia="方正黑体简体"/>
          <w:b/>
          <w:sz w:val="32"/>
          <w:szCs w:val="32"/>
        </w:rPr>
        <w:t>存在的主要问题及改进情况</w:t>
      </w:r>
    </w:p>
    <w:p>
      <w:pPr>
        <w:spacing w:line="590" w:lineRule="exact"/>
        <w:ind w:right="-100" w:rightChars="-50" w:firstLine="640" w:firstLineChars="200"/>
        <w:rPr>
          <w:rFonts w:hint="eastAsia" w:ascii="方正仿宋简体" w:eastAsia="方正仿宋简体"/>
          <w:b/>
          <w:sz w:val="32"/>
          <w:szCs w:val="32"/>
          <w:lang w:val="en-US" w:eastAsia="zh-CN"/>
        </w:rPr>
      </w:pPr>
      <w:r>
        <w:rPr>
          <w:rFonts w:hint="eastAsia" w:ascii="方正仿宋简体" w:eastAsia="方正仿宋简体"/>
          <w:b/>
          <w:sz w:val="32"/>
          <w:szCs w:val="32"/>
          <w:lang w:val="en-US" w:eastAsia="zh-CN"/>
        </w:rPr>
        <w:t>（一）存在的主要问题。</w:t>
      </w:r>
    </w:p>
    <w:p>
      <w:pPr>
        <w:spacing w:line="590" w:lineRule="exact"/>
        <w:ind w:right="-100" w:rightChars="-50" w:firstLine="640" w:firstLineChars="200"/>
        <w:rPr>
          <w:rFonts w:hint="default" w:ascii="方正仿宋简体" w:eastAsia="方正仿宋简体"/>
          <w:b/>
          <w:sz w:val="32"/>
          <w:szCs w:val="32"/>
          <w:lang w:val="en-US" w:eastAsia="zh-CN"/>
        </w:rPr>
      </w:pPr>
      <w:r>
        <w:rPr>
          <w:rFonts w:hint="default" w:ascii="方正仿宋简体" w:eastAsia="方正仿宋简体"/>
          <w:b/>
          <w:sz w:val="32"/>
          <w:szCs w:val="32"/>
          <w:lang w:val="en-US" w:eastAsia="zh-CN"/>
        </w:rPr>
        <w:t>2021年太白湖新区</w:t>
      </w:r>
      <w:r>
        <w:rPr>
          <w:rFonts w:hint="eastAsia" w:ascii="方正仿宋简体" w:eastAsia="方正仿宋简体"/>
          <w:b/>
          <w:sz w:val="32"/>
          <w:szCs w:val="32"/>
          <w:lang w:val="en-US" w:eastAsia="zh-CN"/>
        </w:rPr>
        <w:t>公共资源交易服务中心圆满完成政务公开各项工作任务，</w:t>
      </w:r>
      <w:r>
        <w:rPr>
          <w:rFonts w:hint="default" w:ascii="方正仿宋简体" w:eastAsia="方正仿宋简体"/>
          <w:b/>
          <w:sz w:val="32"/>
          <w:szCs w:val="32"/>
          <w:lang w:val="en-US" w:eastAsia="zh-CN"/>
        </w:rPr>
        <w:t>但</w:t>
      </w:r>
      <w:r>
        <w:rPr>
          <w:rFonts w:hint="eastAsia" w:ascii="方正仿宋简体" w:eastAsia="方正仿宋简体"/>
          <w:b/>
          <w:sz w:val="32"/>
          <w:szCs w:val="32"/>
          <w:lang w:val="en-US" w:eastAsia="zh-CN"/>
        </w:rPr>
        <w:t>对照新形势、新任务的要求，工作中还存在一些问题，</w:t>
      </w:r>
      <w:r>
        <w:rPr>
          <w:rFonts w:hint="default" w:ascii="方正仿宋简体" w:eastAsia="方正仿宋简体"/>
          <w:b/>
          <w:sz w:val="32"/>
          <w:szCs w:val="32"/>
          <w:lang w:val="en-US" w:eastAsia="zh-CN"/>
        </w:rPr>
        <w:t>主要表现在：一是政务信息</w:t>
      </w:r>
      <w:r>
        <w:rPr>
          <w:rFonts w:hint="eastAsia" w:ascii="方正仿宋简体" w:eastAsia="方正仿宋简体"/>
          <w:b/>
          <w:sz w:val="32"/>
          <w:szCs w:val="32"/>
          <w:lang w:val="en-US" w:eastAsia="zh-CN"/>
        </w:rPr>
        <w:t>公开内容需进一步优化，实效性待提高；</w:t>
      </w:r>
      <w:r>
        <w:rPr>
          <w:rFonts w:hint="default" w:ascii="方正仿宋简体" w:eastAsia="方正仿宋简体"/>
          <w:b/>
          <w:sz w:val="32"/>
          <w:szCs w:val="32"/>
          <w:lang w:val="en-US" w:eastAsia="zh-CN"/>
        </w:rPr>
        <w:t>二是</w:t>
      </w:r>
      <w:r>
        <w:rPr>
          <w:rFonts w:hint="eastAsia" w:ascii="方正仿宋简体" w:eastAsia="方正仿宋简体"/>
          <w:b/>
          <w:sz w:val="32"/>
          <w:szCs w:val="32"/>
          <w:lang w:val="en-US" w:eastAsia="zh-CN"/>
        </w:rPr>
        <w:t>负责政务公开</w:t>
      </w:r>
      <w:r>
        <w:rPr>
          <w:rFonts w:hint="default" w:ascii="方正仿宋简体" w:eastAsia="方正仿宋简体"/>
          <w:b/>
          <w:sz w:val="32"/>
          <w:szCs w:val="32"/>
          <w:lang w:val="en-US" w:eastAsia="zh-CN"/>
        </w:rPr>
        <w:t>人员缺乏系统</w:t>
      </w:r>
      <w:r>
        <w:rPr>
          <w:rFonts w:hint="eastAsia" w:ascii="方正仿宋简体" w:eastAsia="方正仿宋简体"/>
          <w:b/>
          <w:sz w:val="32"/>
          <w:szCs w:val="32"/>
          <w:lang w:val="en-US" w:eastAsia="zh-CN"/>
        </w:rPr>
        <w:t>性</w:t>
      </w:r>
      <w:r>
        <w:rPr>
          <w:rFonts w:hint="default" w:ascii="方正仿宋简体" w:eastAsia="方正仿宋简体"/>
          <w:b/>
          <w:sz w:val="32"/>
          <w:szCs w:val="32"/>
          <w:lang w:val="en-US" w:eastAsia="zh-CN"/>
        </w:rPr>
        <w:t>业务培训。</w:t>
      </w:r>
    </w:p>
    <w:p>
      <w:pPr>
        <w:spacing w:line="590" w:lineRule="exact"/>
        <w:ind w:right="-100" w:rightChars="-50" w:firstLine="640" w:firstLineChars="200"/>
        <w:rPr>
          <w:rFonts w:hint="eastAsia" w:ascii="方正仿宋简体" w:eastAsia="方正仿宋简体"/>
          <w:b/>
          <w:sz w:val="32"/>
          <w:szCs w:val="32"/>
          <w:lang w:val="en-US" w:eastAsia="zh-CN"/>
        </w:rPr>
      </w:pPr>
      <w:r>
        <w:rPr>
          <w:rFonts w:hint="default" w:ascii="方正仿宋简体" w:eastAsia="方正仿宋简体"/>
          <w:b/>
          <w:sz w:val="32"/>
          <w:szCs w:val="32"/>
          <w:lang w:val="en-US" w:eastAsia="zh-CN"/>
        </w:rPr>
        <w:t>（二）下一步改进提升措施。</w:t>
      </w:r>
    </w:p>
    <w:p>
      <w:pPr>
        <w:spacing w:line="590" w:lineRule="exact"/>
        <w:ind w:right="-100" w:rightChars="-50" w:firstLine="640" w:firstLineChars="200"/>
        <w:rPr>
          <w:rFonts w:hint="eastAsia" w:ascii="方正仿宋简体" w:eastAsia="方正仿宋简体"/>
          <w:b/>
          <w:sz w:val="32"/>
          <w:szCs w:val="32"/>
          <w:lang w:val="en-US" w:eastAsia="zh-CN"/>
        </w:rPr>
      </w:pPr>
      <w:r>
        <w:rPr>
          <w:rFonts w:hint="default" w:ascii="方正仿宋简体" w:eastAsia="方正仿宋简体"/>
          <w:b/>
          <w:sz w:val="32"/>
          <w:szCs w:val="32"/>
          <w:lang w:val="en-US" w:eastAsia="zh-CN"/>
        </w:rPr>
        <w:t> 2022年，太白湖新区</w:t>
      </w:r>
      <w:r>
        <w:rPr>
          <w:rFonts w:hint="eastAsia" w:ascii="方正仿宋简体" w:eastAsia="方正仿宋简体"/>
          <w:b/>
          <w:sz w:val="32"/>
          <w:szCs w:val="32"/>
          <w:lang w:val="en-US" w:eastAsia="zh-CN"/>
        </w:rPr>
        <w:t>公共资源交易服务中心将继续做好政务公开工作。一是注重公开内容，满足群众最关注的信息需求，进一步充实信息公开内容，并及时正确公布。</w:t>
      </w:r>
      <w:r>
        <w:rPr>
          <w:rFonts w:hint="default" w:ascii="方正仿宋简体" w:eastAsia="方正仿宋简体"/>
          <w:b/>
          <w:sz w:val="32"/>
          <w:szCs w:val="32"/>
          <w:lang w:val="en-US" w:eastAsia="zh-CN"/>
        </w:rPr>
        <w:t>二是加强</w:t>
      </w:r>
      <w:r>
        <w:rPr>
          <w:rFonts w:hint="eastAsia" w:ascii="方正仿宋简体" w:eastAsia="方正仿宋简体"/>
          <w:b/>
          <w:sz w:val="32"/>
          <w:szCs w:val="32"/>
          <w:lang w:val="en-US" w:eastAsia="zh-CN"/>
        </w:rPr>
        <w:t>中心政务公开</w:t>
      </w:r>
      <w:r>
        <w:rPr>
          <w:rFonts w:hint="default" w:ascii="方正仿宋简体" w:eastAsia="方正仿宋简体"/>
          <w:b/>
          <w:sz w:val="32"/>
          <w:szCs w:val="32"/>
          <w:lang w:val="en-US" w:eastAsia="zh-CN"/>
        </w:rPr>
        <w:t>人员业务培训，增强专业素养，提升</w:t>
      </w:r>
      <w:r>
        <w:rPr>
          <w:rFonts w:hint="eastAsia" w:ascii="方正仿宋简体" w:eastAsia="方正仿宋简体"/>
          <w:b/>
          <w:sz w:val="32"/>
          <w:szCs w:val="32"/>
          <w:lang w:val="en-US" w:eastAsia="zh-CN"/>
        </w:rPr>
        <w:t>中心</w:t>
      </w:r>
      <w:r>
        <w:rPr>
          <w:rFonts w:hint="default" w:ascii="方正仿宋简体" w:eastAsia="方正仿宋简体"/>
          <w:b/>
          <w:sz w:val="32"/>
          <w:szCs w:val="32"/>
          <w:lang w:val="en-US" w:eastAsia="zh-CN"/>
        </w:rPr>
        <w:t>政务公开人员的专业化、技术化水平。</w:t>
      </w:r>
    </w:p>
    <w:p>
      <w:pPr>
        <w:numPr>
          <w:ilvl w:val="0"/>
          <w:numId w:val="0"/>
        </w:numPr>
        <w:spacing w:line="590" w:lineRule="exact"/>
        <w:ind w:right="-100" w:rightChars="-50" w:firstLine="640" w:firstLineChars="200"/>
        <w:rPr>
          <w:rFonts w:hint="eastAsia" w:ascii="方正黑体简体" w:eastAsia="方正黑体简体"/>
          <w:b/>
          <w:sz w:val="32"/>
          <w:szCs w:val="32"/>
        </w:rPr>
      </w:pPr>
      <w:r>
        <w:rPr>
          <w:rFonts w:hint="eastAsia" w:ascii="方正黑体简体" w:eastAsia="方正黑体简体"/>
          <w:b/>
          <w:sz w:val="32"/>
          <w:szCs w:val="32"/>
          <w:lang w:val="en-US" w:eastAsia="zh-CN"/>
        </w:rPr>
        <w:t>六</w:t>
      </w:r>
      <w:r>
        <w:rPr>
          <w:rFonts w:hint="eastAsia" w:ascii="方正黑体简体" w:eastAsia="方正黑体简体"/>
          <w:b/>
          <w:sz w:val="32"/>
          <w:szCs w:val="32"/>
        </w:rPr>
        <w:t>、其他需要报告的事项</w:t>
      </w:r>
    </w:p>
    <w:p>
      <w:pPr>
        <w:spacing w:line="590" w:lineRule="exact"/>
        <w:ind w:right="-100" w:rightChars="-50" w:firstLine="640" w:firstLineChars="200"/>
        <w:rPr>
          <w:rFonts w:ascii="方正仿宋简体" w:eastAsia="方正仿宋简体"/>
          <w:b/>
          <w:sz w:val="32"/>
          <w:szCs w:val="32"/>
        </w:rPr>
      </w:pPr>
      <w:r>
        <w:rPr>
          <w:rFonts w:hint="eastAsia" w:ascii="方正仿宋简体" w:eastAsia="方正仿宋简体"/>
          <w:b/>
          <w:sz w:val="32"/>
          <w:szCs w:val="32"/>
        </w:rPr>
        <w:t>（一）依据《政府信息公开信息处理费管理办法》</w:t>
      </w:r>
      <w:r>
        <w:rPr>
          <w:rFonts w:hint="eastAsia" w:ascii="方正仿宋简体" w:eastAsia="方正仿宋简体"/>
          <w:b/>
          <w:sz w:val="32"/>
          <w:szCs w:val="32"/>
          <w:lang w:val="en-US" w:eastAsia="zh-CN"/>
        </w:rPr>
        <w:t>2021年我单位无收取信息处理费的情况</w:t>
      </w:r>
      <w:r>
        <w:rPr>
          <w:rFonts w:hint="eastAsia" w:ascii="方正仿宋简体" w:eastAsia="方正仿宋简体"/>
          <w:b/>
          <w:sz w:val="32"/>
          <w:szCs w:val="32"/>
        </w:rPr>
        <w:t>;</w:t>
      </w:r>
    </w:p>
    <w:p>
      <w:pPr>
        <w:spacing w:line="590" w:lineRule="exact"/>
        <w:ind w:right="-100" w:rightChars="-50" w:firstLine="640" w:firstLineChars="200"/>
        <w:rPr>
          <w:rFonts w:hint="eastAsia" w:ascii="方正仿宋简体" w:eastAsia="方正仿宋简体"/>
          <w:b/>
          <w:sz w:val="32"/>
          <w:szCs w:val="32"/>
          <w:lang w:val="en-US" w:eastAsia="zh-CN"/>
        </w:rPr>
      </w:pPr>
      <w:r>
        <w:rPr>
          <w:rFonts w:hint="eastAsia" w:ascii="方正仿宋简体" w:eastAsia="方正仿宋简体"/>
          <w:b/>
          <w:sz w:val="32"/>
          <w:szCs w:val="32"/>
        </w:rPr>
        <w:t>（二）</w:t>
      </w:r>
      <w:r>
        <w:rPr>
          <w:rFonts w:hint="eastAsia" w:ascii="方正仿宋简体" w:eastAsia="方正仿宋简体"/>
          <w:b/>
          <w:sz w:val="32"/>
          <w:szCs w:val="32"/>
          <w:lang w:val="en-US" w:eastAsia="zh-CN"/>
        </w:rPr>
        <w:t xml:space="preserve">2021年，太白湖新区公共资源交易服务中心严格落实本年度政务公开工作要点，并圆满完成各项工作任务；                 </w:t>
      </w:r>
    </w:p>
    <w:p>
      <w:pPr>
        <w:spacing w:line="590" w:lineRule="exact"/>
        <w:ind w:right="-100" w:rightChars="-50" w:firstLine="640" w:firstLineChars="200"/>
        <w:rPr>
          <w:rFonts w:hint="eastAsia" w:ascii="方正仿宋简体" w:eastAsia="方正仿宋简体"/>
          <w:b/>
          <w:sz w:val="32"/>
          <w:szCs w:val="32"/>
          <w:lang w:val="en-US" w:eastAsia="zh-CN"/>
        </w:rPr>
      </w:pPr>
      <w:r>
        <w:rPr>
          <w:rFonts w:hint="eastAsia" w:ascii="方正仿宋简体" w:eastAsia="方正仿宋简体"/>
          <w:b/>
          <w:sz w:val="32"/>
          <w:szCs w:val="32"/>
          <w:lang w:val="en-US" w:eastAsia="zh-CN"/>
        </w:rPr>
        <w:t>（三）2021年，太白湖新区公共资源交易服务中心共承办人大评议和政协提案0件；</w:t>
      </w:r>
    </w:p>
    <w:p>
      <w:pPr>
        <w:spacing w:line="590" w:lineRule="exact"/>
        <w:ind w:right="-100" w:rightChars="-50" w:firstLine="640" w:firstLineChars="200"/>
        <w:rPr>
          <w:rFonts w:hint="eastAsia" w:ascii="方正仿宋简体" w:eastAsia="方正仿宋简体"/>
          <w:b/>
          <w:sz w:val="32"/>
          <w:szCs w:val="32"/>
          <w:lang w:val="en-US" w:eastAsia="zh-CN"/>
        </w:rPr>
      </w:pPr>
      <w:r>
        <w:rPr>
          <w:rFonts w:hint="eastAsia" w:ascii="方正仿宋简体" w:eastAsia="方正仿宋简体"/>
          <w:b/>
          <w:sz w:val="32"/>
          <w:szCs w:val="32"/>
        </w:rPr>
        <w:t>（四）</w:t>
      </w:r>
      <w:r>
        <w:rPr>
          <w:rFonts w:hint="eastAsia" w:ascii="方正仿宋简体" w:eastAsia="方正仿宋简体"/>
          <w:b/>
          <w:sz w:val="32"/>
          <w:szCs w:val="32"/>
          <w:lang w:val="en-US" w:eastAsia="zh-CN"/>
        </w:rPr>
        <w:t>本年度报告中所列数据统计期限从</w:t>
      </w:r>
      <w:r>
        <w:rPr>
          <w:rFonts w:hint="default" w:ascii="方正仿宋简体" w:eastAsia="方正仿宋简体"/>
          <w:b/>
          <w:sz w:val="32"/>
          <w:szCs w:val="32"/>
          <w:lang w:val="en-US" w:eastAsia="zh-CN"/>
        </w:rPr>
        <w:t>2021年1月1日到12月31日止。</w:t>
      </w:r>
    </w:p>
    <w:p>
      <w:pPr>
        <w:spacing w:line="590" w:lineRule="exact"/>
        <w:ind w:right="-100" w:rightChars="-50" w:firstLine="640" w:firstLineChars="200"/>
        <w:rPr>
          <w:rFonts w:ascii="方正仿宋简体" w:eastAsia="方正仿宋简体"/>
          <w:b/>
          <w:sz w:val="32"/>
          <w:szCs w:val="32"/>
        </w:rPr>
      </w:pPr>
    </w:p>
    <w:p>
      <w:pPr>
        <w:spacing w:line="590" w:lineRule="exact"/>
        <w:ind w:right="-100" w:rightChars="-50" w:firstLine="640" w:firstLineChars="200"/>
        <w:rPr>
          <w:rFonts w:ascii="方正仿宋简体" w:eastAsia="方正仿宋简体"/>
          <w:b/>
          <w:sz w:val="32"/>
          <w:szCs w:val="32"/>
        </w:rPr>
      </w:pPr>
    </w:p>
    <w:p>
      <w:pPr>
        <w:spacing w:line="590" w:lineRule="exact"/>
        <w:ind w:right="-100" w:rightChars="-50" w:firstLine="640" w:firstLineChars="200"/>
        <w:rPr>
          <w:rFonts w:ascii="方正仿宋简体" w:eastAsia="方正仿宋简体"/>
          <w:b/>
          <w:sz w:val="32"/>
          <w:szCs w:val="32"/>
        </w:rPr>
      </w:pPr>
    </w:p>
    <w:p>
      <w:pPr>
        <w:spacing w:line="590" w:lineRule="exact"/>
        <w:ind w:right="-100" w:rightChars="-50" w:firstLine="640" w:firstLineChars="200"/>
        <w:rPr>
          <w:rFonts w:ascii="方正仿宋简体" w:eastAsia="方正仿宋简体"/>
          <w:b/>
          <w:sz w:val="32"/>
          <w:szCs w:val="32"/>
        </w:rPr>
      </w:pPr>
    </w:p>
    <w:p>
      <w:pPr>
        <w:spacing w:line="590" w:lineRule="exact"/>
        <w:ind w:right="-100" w:rightChars="-50" w:firstLine="640" w:firstLineChars="200"/>
        <w:rPr>
          <w:rFonts w:ascii="方正仿宋简体" w:eastAsia="方正仿宋简体"/>
          <w:b/>
          <w:sz w:val="32"/>
          <w:szCs w:val="32"/>
        </w:rPr>
      </w:pPr>
    </w:p>
    <w:p>
      <w:pPr>
        <w:spacing w:line="590" w:lineRule="exact"/>
        <w:ind w:right="-100" w:rightChars="-50" w:firstLine="640" w:firstLineChars="200"/>
        <w:rPr>
          <w:rFonts w:ascii="方正仿宋简体" w:eastAsia="方正仿宋简体"/>
          <w:b/>
          <w:sz w:val="32"/>
          <w:szCs w:val="32"/>
        </w:rPr>
      </w:pPr>
    </w:p>
    <w:p>
      <w:pPr>
        <w:spacing w:line="590" w:lineRule="exact"/>
        <w:ind w:right="-100" w:rightChars="-50" w:firstLine="640" w:firstLineChars="200"/>
        <w:rPr>
          <w:rFonts w:ascii="方正仿宋简体" w:eastAsia="方正仿宋简体"/>
          <w:b/>
          <w:sz w:val="32"/>
          <w:szCs w:val="32"/>
        </w:rPr>
      </w:pPr>
    </w:p>
    <w:p>
      <w:pPr>
        <w:spacing w:line="590" w:lineRule="exact"/>
        <w:ind w:right="-100" w:rightChars="-50" w:firstLine="640" w:firstLineChars="200"/>
        <w:rPr>
          <w:rFonts w:ascii="方正仿宋简体" w:eastAsia="方正仿宋简体"/>
          <w:b/>
          <w:sz w:val="32"/>
          <w:szCs w:val="32"/>
        </w:rPr>
      </w:pPr>
    </w:p>
    <w:p>
      <w:pPr>
        <w:spacing w:line="590" w:lineRule="exact"/>
        <w:ind w:right="-100" w:rightChars="-50" w:firstLine="640" w:firstLineChars="200"/>
        <w:rPr>
          <w:rFonts w:ascii="方正仿宋简体" w:eastAsia="方正仿宋简体"/>
          <w:b/>
          <w:sz w:val="32"/>
          <w:szCs w:val="32"/>
        </w:rPr>
      </w:pPr>
    </w:p>
    <w:p>
      <w:pPr>
        <w:spacing w:line="590" w:lineRule="exact"/>
        <w:ind w:right="-100" w:rightChars="-50"/>
        <w:rPr>
          <w:rFonts w:ascii="方正仿宋简体" w:eastAsia="方正仿宋简体"/>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黑体简体">
    <w:altName w:val="微软雅黑"/>
    <w:panose1 w:val="02000000000000000000"/>
    <w:charset w:val="86"/>
    <w:family w:val="auto"/>
    <w:pitch w:val="default"/>
    <w:sig w:usb0="00000000" w:usb1="00000000" w:usb2="00000000" w:usb3="00000000" w:csb0="00040000" w:csb1="00000000"/>
  </w:font>
  <w:font w:name="方正楷体简体">
    <w:altName w:val="宋体"/>
    <w:panose1 w:val="02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CEC61"/>
    <w:multiLevelType w:val="singleLevel"/>
    <w:tmpl w:val="940CEC61"/>
    <w:lvl w:ilvl="0" w:tentative="0">
      <w:start w:val="5"/>
      <w:numFmt w:val="chineseCounting"/>
      <w:suff w:val="nothing"/>
      <w:lvlText w:val="（%1）"/>
      <w:lvlJc w:val="left"/>
      <w:rPr>
        <w:rFonts w:hint="eastAsia"/>
      </w:rPr>
    </w:lvl>
  </w:abstractNum>
  <w:abstractNum w:abstractNumId="1">
    <w:nsid w:val="24A055E2"/>
    <w:multiLevelType w:val="singleLevel"/>
    <w:tmpl w:val="24A055E2"/>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2C0FB1"/>
    <w:rsid w:val="00F747F4"/>
    <w:rsid w:val="02185696"/>
    <w:rsid w:val="0239658B"/>
    <w:rsid w:val="05C15DDF"/>
    <w:rsid w:val="0890544F"/>
    <w:rsid w:val="08983298"/>
    <w:rsid w:val="1449723F"/>
    <w:rsid w:val="15235CEF"/>
    <w:rsid w:val="16AB099B"/>
    <w:rsid w:val="1A9817EC"/>
    <w:rsid w:val="289B0FC1"/>
    <w:rsid w:val="2E926161"/>
    <w:rsid w:val="34EE1B38"/>
    <w:rsid w:val="36A07011"/>
    <w:rsid w:val="37990278"/>
    <w:rsid w:val="3B2C0FB1"/>
    <w:rsid w:val="3B9B68EE"/>
    <w:rsid w:val="3BA07C6E"/>
    <w:rsid w:val="40F94758"/>
    <w:rsid w:val="411424E0"/>
    <w:rsid w:val="48064CD8"/>
    <w:rsid w:val="4FBE4738"/>
    <w:rsid w:val="55682E56"/>
    <w:rsid w:val="570114C9"/>
    <w:rsid w:val="63EE36A7"/>
    <w:rsid w:val="64410C44"/>
    <w:rsid w:val="66183287"/>
    <w:rsid w:val="6C301002"/>
    <w:rsid w:val="75655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2022-03-02T01:03:00Z</dcterms:created>
  <dc:creator>Lenovo</dc:creator>
  <cp:lastModifiedBy>Lenovo</cp:lastModifiedBy>
  <cp:lastPrinted>2022-03-03T01:53:00Z</cp:lastPrinted>
  <dcterms:modified xsi:type="dcterms:W3CDTF">2022-03-09T07:04:41Z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EA2FFE3FCF8E40A0852649FD8A69A961</vt:lpwstr>
  </property>
</Properties>
</file>