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7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济宁市教育局北湖度假区分局</w:t>
      </w:r>
    </w:p>
    <w:p>
      <w:pPr>
        <w:spacing w:line="590" w:lineRule="exact"/>
        <w:ind w:right="-97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2021年政府信息公开工作年度报告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本报告由济宁市教育局北湖度假区分局按照《中华人民共和国政府信息公开条例》（以下简称《条例》）和《中华人民共和国政府信息公开工作年度报告格式》（国办公开办函〔2021〕30号）要求编制。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7" w:rightChars="-50" w:firstLine="628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我局成立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至2021年12月31日止。如对本报告有疑问，请与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分局综合科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6537033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7" w:rightChars="-50" w:firstLine="628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7" w:rightChars="-50" w:firstLine="628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2021年，我局严格按照“应公开，尽公开”原则，坚持主动公开和依申请公开相结合，及时、准确、规范地向社会发布政府信息，加强政策解读和回应关切，深化重点领域信息公开，不断完善政府信息公开的审核、发布、培训等工作机制，严格按照对外公开的流程和期限要求，确保公开的信息科学准确、真实有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7" w:rightChars="-50" w:firstLine="628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我局在太白湖新区管委会网站主动公开信息共9条，其中公开重点领域栏目的学前教育、义务教育相关事项7条，行政权力栏目的权责清单1条，组织机构栏目的部门信息1条，规范性文件主动公开0条，收到和处理政府信息公开申请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7" w:rightChars="-50" w:firstLine="628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2021年，我局未收到政府信息公开申请。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（三）政府信息管理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8" w:firstLineChars="200"/>
        <w:jc w:val="both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我局高度重视政务公开工作，</w:t>
      </w:r>
      <w:r>
        <w:rPr>
          <w:rStyle w:val="8"/>
          <w:rFonts w:hint="eastAsia" w:ascii="方正仿宋简体" w:hAnsi="方正仿宋简体" w:eastAsia="方正仿宋简体" w:cs="方正仿宋简体"/>
          <w:spacing w:val="0"/>
          <w:sz w:val="32"/>
          <w:szCs w:val="32"/>
          <w:shd w:val="clear" w:fill="FFFFFF"/>
        </w:rPr>
        <w:t>明确了政务公开分管领导和工作人员，建立</w:t>
      </w:r>
      <w:r>
        <w:rPr>
          <w:rStyle w:val="8"/>
          <w:rFonts w:hint="eastAsia" w:ascii="方正仿宋简体" w:hAnsi="方正仿宋简体" w:eastAsia="方正仿宋简体" w:cs="方正仿宋简体"/>
          <w:spacing w:val="0"/>
          <w:sz w:val="32"/>
          <w:szCs w:val="32"/>
          <w:shd w:val="clear" w:fill="FFFFFF"/>
          <w:lang w:val="en-US" w:eastAsia="zh-CN"/>
        </w:rPr>
        <w:t>科室</w:t>
      </w:r>
      <w:r>
        <w:rPr>
          <w:rStyle w:val="8"/>
          <w:rFonts w:hint="eastAsia" w:ascii="方正仿宋简体" w:hAnsi="方正仿宋简体" w:eastAsia="方正仿宋简体" w:cs="方正仿宋简体"/>
          <w:spacing w:val="0"/>
          <w:sz w:val="32"/>
          <w:szCs w:val="32"/>
          <w:shd w:val="clear" w:fill="FFFFFF"/>
        </w:rPr>
        <w:t>联动、共同推进的政务公开工作机制</w:t>
      </w:r>
      <w:r>
        <w:rPr>
          <w:rStyle w:val="8"/>
          <w:rFonts w:hint="eastAsia" w:ascii="方正仿宋简体" w:hAnsi="方正仿宋简体" w:eastAsia="方正仿宋简体" w:cs="方正仿宋简体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Style w:val="8"/>
          <w:rFonts w:hint="eastAsia" w:ascii="方正仿宋简体" w:hAnsi="方正仿宋简体" w:eastAsia="方正仿宋简体" w:cs="方正仿宋简体"/>
          <w:b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严格遵守“先审查、后公开”原则，修订完善公开审查流程，建立完善逐级审查制度。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（四）平台建设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28" w:firstLineChars="200"/>
        <w:jc w:val="both"/>
        <w:textAlignment w:val="auto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为维护群众的知晓权，我局在政府网站公开政府信息的同时，拓展了更便于公众知晓的方式开展信息公开工作。2021年，“太白湖教育”微信公共号推送信息180条，涵盖了学校名录、招生政策、教师招聘、疫情防控指南、校园安全等各个方面。并且依托“太白湖教育”微信公众号挂接民意通服务平台，结合行风热线栏目、网络问政平台、民意“5”来听等渠道，及时回应群众关切。同时，我区各学校设立微信公众号账号，作为校园活动宣传和政策宣传的有力推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（五）监督保障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28" w:firstLineChars="200"/>
        <w:jc w:val="both"/>
        <w:textAlignment w:val="auto"/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我局充分利用政务公开评估结果，将评估发现问题及时反馈各相关科室，并跟上督导，确保整改落实到位；强化日常督导，通过电话调度、重点督查等形式，强化对落实情况的监督。</w:t>
      </w:r>
    </w:p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28" w:firstLineChars="200"/>
        <w:jc w:val="both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存在的主要问题有：一是对部分信息是否可以公开、信息公开范围、公开程度把握不准；二是信息公开工作的长效机制需进一步完善，主动公开的意识有待增强；三是政策解读仍以文字和图片解读为主，政策解读的形式有待于进一步丰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28" w:firstLineChars="200"/>
        <w:jc w:val="both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下一步，我局将进一步增强依法公开意识，完善工作制度，不断提升政务公开的广度和深度，努力提升政务公开工作实效，切实保障人民群众对教育的知情权、参与权、表达权和监督权。一是明确责任，进一步做好《中华人民共和国政府信息公开条例》的实施工作，结合《山东省中等及中等以下学校信息公开办法》，进一步做好全区教育系统信息公开工作；二是加强管理，进一步增强信息公开工作实效；三是加大宣传，提高信息公开的社会参与度。</w:t>
      </w:r>
    </w:p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7" w:rightChars="-50" w:firstLine="628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无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pStyle w:val="2"/>
        <w:rPr>
          <w:rFonts w:hint="eastAsia" w:ascii="方正黑体简体" w:eastAsia="方正黑体简体"/>
          <w:b/>
          <w:sz w:val="32"/>
          <w:szCs w:val="32"/>
        </w:rPr>
      </w:pPr>
    </w:p>
    <w:p>
      <w:pPr>
        <w:rPr>
          <w:rFonts w:hint="eastAsia" w:ascii="方正黑体简体" w:eastAsia="方正黑体简体"/>
          <w:b/>
          <w:sz w:val="32"/>
          <w:szCs w:val="32"/>
        </w:rPr>
      </w:pPr>
    </w:p>
    <w:p>
      <w:pPr>
        <w:pStyle w:val="2"/>
        <w:rPr>
          <w:rFonts w:hint="eastAsia" w:ascii="方正黑体简体" w:eastAsia="方正黑体简体"/>
          <w:b/>
          <w:sz w:val="32"/>
          <w:szCs w:val="32"/>
        </w:rPr>
      </w:pPr>
    </w:p>
    <w:p>
      <w:pPr>
        <w:rPr>
          <w:rFonts w:hint="eastAsia" w:ascii="方正黑体简体" w:eastAsia="方正黑体简体"/>
          <w:b/>
          <w:sz w:val="32"/>
          <w:szCs w:val="32"/>
        </w:rPr>
      </w:pPr>
    </w:p>
    <w:p>
      <w:pPr>
        <w:pStyle w:val="2"/>
        <w:rPr>
          <w:rFonts w:hint="eastAsia" w:ascii="方正黑体简体" w:eastAsia="方正黑体简体"/>
          <w:b/>
          <w:sz w:val="32"/>
          <w:szCs w:val="32"/>
        </w:rPr>
      </w:pPr>
    </w:p>
    <w:p>
      <w:pPr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ascii="方正仿宋简体" w:eastAsia="方正仿宋简体"/>
          <w:b/>
          <w:sz w:val="32"/>
          <w:szCs w:val="32"/>
        </w:rPr>
      </w:pPr>
      <w:bookmarkStart w:id="0" w:name="_GoBack"/>
      <w:bookmarkEnd w:id="0"/>
    </w:p>
    <w:p/>
    <w:p/>
    <w:sectPr>
      <w:footerReference r:id="rId3" w:type="default"/>
      <w:pgSz w:w="11906" w:h="16838"/>
      <w:pgMar w:top="1440" w:right="1565" w:bottom="1440" w:left="1565" w:header="851" w:footer="992" w:gutter="0"/>
      <w:pgNumType w:fmt="numberInDash"/>
      <w:cols w:space="0" w:num="1"/>
      <w:rtlGutter w:val="0"/>
      <w:docGrid w:type="linesAndChars" w:linePitch="312" w:charSpace="-1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D1D34"/>
    <w:rsid w:val="0C7F0FBE"/>
    <w:rsid w:val="531C36BE"/>
    <w:rsid w:val="5FB27056"/>
    <w:rsid w:val="628E28E5"/>
    <w:rsid w:val="654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2155</Words>
  <Characters>2208</Characters>
  <Lines>0</Lines>
  <Paragraphs>0</Paragraphs>
  <TotalTime>23</TotalTime>
  <ScaleCrop>false</ScaleCrop>
  <LinksUpToDate>false</LinksUpToDate>
  <CharactersWithSpaces>2233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2022-03-03T07:16:00Z</dcterms:created>
  <dc:creator>镂空的架子</dc:creator>
  <cp:lastModifiedBy>HP</cp:lastModifiedBy>
  <cp:lastPrinted>2022-03-04T04:28:00Z</cp:lastPrinted>
  <dcterms:modified xsi:type="dcterms:W3CDTF">2022-03-04T09:05:25Z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63F6E8106FD5428A808318239A73A1C1</vt:lpwstr>
  </property>
</Properties>
</file>