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E21DC">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bCs w:val="0"/>
          <w:color w:val="auto"/>
          <w:sz w:val="44"/>
          <w:szCs w:val="44"/>
        </w:rPr>
      </w:pPr>
      <w:r>
        <w:rPr>
          <w:rFonts w:hint="eastAsia" w:ascii="方正小标宋简体" w:hAnsi="方正小标宋简体" w:eastAsia="方正小标宋简体" w:cs="方正小标宋简体"/>
          <w:b/>
          <w:bCs w:val="0"/>
          <w:color w:val="auto"/>
          <w:kern w:val="0"/>
          <w:sz w:val="44"/>
          <w:szCs w:val="44"/>
          <w:lang w:val="en-US" w:eastAsia="zh-CN" w:bidi="ar"/>
        </w:rPr>
        <w:t>济宁北湖省级旅游度假区社会事务综合  服务中心</w:t>
      </w:r>
      <w:r>
        <w:rPr>
          <w:rFonts w:hint="eastAsia" w:ascii="方正小标宋简体" w:hAnsi="方正小标宋简体" w:eastAsia="方正小标宋简体" w:cs="方正小标宋简体"/>
          <w:b/>
          <w:bCs w:val="0"/>
          <w:color w:val="auto"/>
          <w:sz w:val="44"/>
          <w:szCs w:val="44"/>
          <w:lang w:eastAsia="zh-CN"/>
        </w:rPr>
        <w:t>社保就业服务部</w:t>
      </w:r>
      <w:r>
        <w:rPr>
          <w:rFonts w:hint="eastAsia" w:ascii="方正小标宋简体" w:hAnsi="方正小标宋简体" w:eastAsia="方正小标宋简体" w:cs="方正小标宋简体"/>
          <w:b/>
          <w:bCs w:val="0"/>
          <w:color w:val="auto"/>
          <w:sz w:val="44"/>
          <w:szCs w:val="44"/>
        </w:rPr>
        <w:t>202</w:t>
      </w:r>
      <w:r>
        <w:rPr>
          <w:rFonts w:hint="eastAsia" w:ascii="方正小标宋简体" w:hAnsi="方正小标宋简体" w:eastAsia="方正小标宋简体" w:cs="方正小标宋简体"/>
          <w:b/>
          <w:bCs w:val="0"/>
          <w:color w:val="auto"/>
          <w:sz w:val="44"/>
          <w:szCs w:val="44"/>
          <w:lang w:val="en-US" w:eastAsia="zh-CN"/>
        </w:rPr>
        <w:t>5</w:t>
      </w:r>
      <w:r>
        <w:rPr>
          <w:rFonts w:hint="eastAsia" w:ascii="方正小标宋简体" w:hAnsi="方正小标宋简体" w:eastAsia="方正小标宋简体" w:cs="方正小标宋简体"/>
          <w:b/>
          <w:bCs w:val="0"/>
          <w:color w:val="auto"/>
          <w:sz w:val="44"/>
          <w:szCs w:val="44"/>
        </w:rPr>
        <w:t>年政府信息公开工作年度报告</w:t>
      </w:r>
    </w:p>
    <w:p w14:paraId="6D6BDA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default" w:ascii="仿宋_GB2312" w:hAnsi="Calibri" w:eastAsia="仿宋_GB2312" w:cs="Times New Roman"/>
          <w:b/>
          <w:bCs w:val="0"/>
          <w:color w:val="auto"/>
          <w:kern w:val="2"/>
          <w:sz w:val="32"/>
          <w:szCs w:val="32"/>
          <w:lang w:val="en-US" w:eastAsia="zh-CN" w:bidi="ar-SA"/>
        </w:rPr>
      </w:pPr>
    </w:p>
    <w:p w14:paraId="691C41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Fonts w:hint="default" w:ascii="Times New Roman" w:hAnsi="Times New Roman" w:eastAsia="方正仿宋简体" w:cs="Times New Roman"/>
          <w:b/>
          <w:bCs w:val="0"/>
          <w:color w:val="auto"/>
          <w:kern w:val="2"/>
          <w:sz w:val="32"/>
          <w:szCs w:val="32"/>
          <w:lang w:val="en-US" w:eastAsia="zh-CN" w:bidi="ar-SA"/>
        </w:rPr>
      </w:pPr>
      <w:r>
        <w:rPr>
          <w:rFonts w:hint="default" w:ascii="Times New Roman" w:hAnsi="Times New Roman" w:eastAsia="方正仿宋简体" w:cs="Times New Roman"/>
          <w:b/>
          <w:bCs w:val="0"/>
          <w:color w:val="auto"/>
          <w:kern w:val="2"/>
          <w:sz w:val="32"/>
          <w:szCs w:val="32"/>
          <w:lang w:val="en-US" w:eastAsia="zh-CN" w:bidi="ar-SA"/>
        </w:rPr>
        <w:t>本报告由济宁北湖省级旅游度假区社会事务综合服务中心社保就业服务部按照《中华人民共和国政府信息公开条例》（以下简称《条例》）和《中华人民共和国政府信息公开工作年度报告格式》（国办公开办函〔2021〕30号）要求编制。</w:t>
      </w:r>
    </w:p>
    <w:p w14:paraId="67A21B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Fonts w:hint="default" w:ascii="Times New Roman" w:hAnsi="Times New Roman" w:eastAsia="方正仿宋简体" w:cs="Times New Roman"/>
          <w:b/>
          <w:bCs w:val="0"/>
          <w:color w:val="auto"/>
          <w:kern w:val="2"/>
          <w:sz w:val="32"/>
          <w:szCs w:val="32"/>
          <w:lang w:val="en-US" w:eastAsia="zh-CN" w:bidi="ar-SA"/>
        </w:rPr>
      </w:pPr>
      <w:r>
        <w:rPr>
          <w:rFonts w:hint="default" w:ascii="Times New Roman" w:hAnsi="Times New Roman" w:eastAsia="方正仿宋简体" w:cs="Times New Roman"/>
          <w:b/>
          <w:bCs w:val="0"/>
          <w:color w:val="auto"/>
          <w:kern w:val="2"/>
          <w:sz w:val="32"/>
          <w:szCs w:val="32"/>
          <w:lang w:val="en-US" w:eastAsia="zh-CN" w:bidi="ar-SA"/>
        </w:rPr>
        <w:t>本报告内容包括总体情况、主动公开政府信息情况、收到和处理政府信息公开申请情况、政府信息公开行政复议和行政诉讼情况、存在的主要问题及改进情况、其他需要报告的事项等六部分内容。</w:t>
      </w:r>
    </w:p>
    <w:p w14:paraId="59C981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Fonts w:hint="default" w:ascii="Times New Roman" w:hAnsi="Times New Roman" w:eastAsia="方正仿宋简体" w:cs="Times New Roman"/>
          <w:b/>
          <w:bCs w:val="0"/>
          <w:color w:val="auto"/>
          <w:kern w:val="2"/>
          <w:sz w:val="32"/>
          <w:szCs w:val="32"/>
          <w:lang w:val="en-US" w:eastAsia="zh-CN" w:bidi="ar-SA"/>
        </w:rPr>
      </w:pPr>
      <w:r>
        <w:rPr>
          <w:rFonts w:hint="default" w:ascii="Times New Roman" w:hAnsi="Times New Roman" w:eastAsia="方正仿宋简体" w:cs="Times New Roman"/>
          <w:b/>
          <w:bCs w:val="0"/>
          <w:color w:val="auto"/>
          <w:kern w:val="2"/>
          <w:sz w:val="32"/>
          <w:szCs w:val="32"/>
          <w:lang w:val="en-US" w:eastAsia="zh-CN" w:bidi="ar-SA"/>
        </w:rPr>
        <w:t>本报告所列数据的统计期限自2025年1月1日起至2025年12月31日止。本报告电子版可在“济宁太白湖新区管理委员会”门户网站（http://bhdjq.jining.gov.cn）查阅或下载。如对本报告有疑问，请与济宁北湖省级旅游社会事务综合服务中心社保就业服务部联系（地址：新城发展大厦A座1楼5区，联系电话：0537-6537223）。</w:t>
      </w:r>
    </w:p>
    <w:p w14:paraId="49726DC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right="0" w:rightChars="0" w:firstLine="643" w:firstLineChars="200"/>
        <w:jc w:val="both"/>
        <w:textAlignment w:val="auto"/>
        <w:rPr>
          <w:rFonts w:hint="eastAsia" w:ascii="方正黑体简体" w:hAnsi="方正黑体简体" w:eastAsia="方正黑体简体" w:cs="方正黑体简体"/>
          <w:b/>
          <w:bCs w:val="0"/>
          <w:i w:val="0"/>
          <w:iCs w:val="0"/>
          <w:caps w:val="0"/>
          <w:color w:val="auto"/>
          <w:spacing w:val="0"/>
          <w:sz w:val="32"/>
          <w:szCs w:val="32"/>
          <w:shd w:val="clear" w:color="auto" w:fill="FFFFFF"/>
        </w:rPr>
      </w:pPr>
      <w:r>
        <w:rPr>
          <w:rFonts w:hint="eastAsia" w:ascii="方正黑体简体" w:hAnsi="方正黑体简体" w:eastAsia="方正黑体简体" w:cs="方正黑体简体"/>
          <w:b/>
          <w:bCs w:val="0"/>
          <w:i w:val="0"/>
          <w:iCs w:val="0"/>
          <w:caps w:val="0"/>
          <w:color w:val="auto"/>
          <w:spacing w:val="0"/>
          <w:sz w:val="32"/>
          <w:szCs w:val="32"/>
          <w:shd w:val="clear" w:color="auto" w:fill="FFFFFF"/>
          <w:lang w:eastAsia="zh-CN"/>
        </w:rPr>
        <w:t>一、</w:t>
      </w:r>
      <w:r>
        <w:rPr>
          <w:rFonts w:hint="eastAsia" w:ascii="方正黑体简体" w:hAnsi="方正黑体简体" w:eastAsia="方正黑体简体" w:cs="方正黑体简体"/>
          <w:b/>
          <w:bCs w:val="0"/>
          <w:i w:val="0"/>
          <w:iCs w:val="0"/>
          <w:caps w:val="0"/>
          <w:color w:val="auto"/>
          <w:spacing w:val="0"/>
          <w:sz w:val="32"/>
          <w:szCs w:val="32"/>
          <w:shd w:val="clear" w:color="auto" w:fill="FFFFFF"/>
        </w:rPr>
        <w:t>总体情况</w:t>
      </w:r>
    </w:p>
    <w:p w14:paraId="70D214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Fonts w:hint="default" w:ascii="Times New Roman" w:hAnsi="Times New Roman" w:eastAsia="方正仿宋简体" w:cs="Times New Roman"/>
          <w:b/>
          <w:bCs w:val="0"/>
          <w:color w:val="auto"/>
          <w:kern w:val="2"/>
          <w:sz w:val="32"/>
          <w:szCs w:val="32"/>
          <w:lang w:val="en-US" w:eastAsia="zh-CN" w:bidi="ar-SA"/>
        </w:rPr>
      </w:pPr>
      <w:r>
        <w:rPr>
          <w:rFonts w:hint="eastAsia" w:ascii="Times New Roman" w:hAnsi="Times New Roman" w:eastAsia="方正仿宋简体" w:cs="Times New Roman"/>
          <w:b/>
          <w:bCs w:val="0"/>
          <w:color w:val="auto"/>
          <w:kern w:val="2"/>
          <w:sz w:val="32"/>
          <w:szCs w:val="32"/>
          <w:lang w:val="en-US" w:eastAsia="zh-CN" w:bidi="ar-SA"/>
        </w:rPr>
        <w:t>2025年，</w:t>
      </w:r>
      <w:r>
        <w:rPr>
          <w:rFonts w:hint="default" w:ascii="Times New Roman" w:hAnsi="Times New Roman" w:eastAsia="方正仿宋简体" w:cs="Times New Roman"/>
          <w:b/>
          <w:bCs w:val="0"/>
          <w:color w:val="auto"/>
          <w:kern w:val="2"/>
          <w:sz w:val="32"/>
          <w:szCs w:val="32"/>
          <w:lang w:val="en-US" w:eastAsia="zh-CN" w:bidi="ar-SA"/>
        </w:rPr>
        <w:t>济宁北湖省级旅游度假区社会事务综合服务中心社保就业服务部严格遵循《中华人民共和国政府信息公开条例》及相关文件要求，扎实推进政府信息公开工作。依托</w:t>
      </w:r>
      <w:r>
        <w:rPr>
          <w:rFonts w:hint="eastAsia" w:ascii="Times New Roman" w:hAnsi="Times New Roman" w:eastAsia="方正仿宋简体" w:cs="Times New Roman"/>
          <w:b/>
          <w:bCs w:val="0"/>
          <w:color w:val="auto"/>
          <w:kern w:val="2"/>
          <w:sz w:val="32"/>
          <w:szCs w:val="32"/>
          <w:lang w:val="en-US" w:eastAsia="zh-CN" w:bidi="ar-SA"/>
        </w:rPr>
        <w:t>太白湖新</w:t>
      </w:r>
      <w:r>
        <w:rPr>
          <w:rFonts w:hint="default" w:ascii="Times New Roman" w:hAnsi="Times New Roman" w:eastAsia="方正仿宋简体" w:cs="Times New Roman"/>
          <w:b/>
          <w:bCs w:val="0"/>
          <w:color w:val="auto"/>
          <w:kern w:val="2"/>
          <w:sz w:val="32"/>
          <w:szCs w:val="32"/>
          <w:lang w:val="en-US" w:eastAsia="zh-CN" w:bidi="ar-SA"/>
        </w:rPr>
        <w:t>区管委会网站、官方公众号等多元渠道，主动</w:t>
      </w:r>
      <w:r>
        <w:rPr>
          <w:rFonts w:hint="eastAsia" w:ascii="Times New Roman" w:hAnsi="Times New Roman" w:eastAsia="方正仿宋简体" w:cs="Times New Roman"/>
          <w:b/>
          <w:bCs w:val="0"/>
          <w:color w:val="auto"/>
          <w:kern w:val="2"/>
          <w:sz w:val="32"/>
          <w:szCs w:val="32"/>
          <w:lang w:val="en-US" w:eastAsia="zh-CN" w:bidi="ar-SA"/>
        </w:rPr>
        <w:t>公开政务信息，</w:t>
      </w:r>
      <w:r>
        <w:rPr>
          <w:rFonts w:hint="default" w:ascii="Times New Roman" w:hAnsi="Times New Roman" w:eastAsia="方正仿宋简体" w:cs="Times New Roman"/>
          <w:b/>
          <w:bCs w:val="0"/>
          <w:color w:val="auto"/>
          <w:kern w:val="2"/>
          <w:sz w:val="32"/>
          <w:szCs w:val="32"/>
          <w:lang w:val="en-US" w:eastAsia="zh-CN" w:bidi="ar-SA"/>
        </w:rPr>
        <w:t>回应群众需求，有效提升政府信息透明度与公开性，切实保障公众知情权，彰显政务公开实效。</w:t>
      </w:r>
    </w:p>
    <w:p w14:paraId="6DAD3E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Fonts w:hint="eastAsia" w:ascii="方正楷体简体" w:hAnsi="方正楷体简体" w:eastAsia="方正楷体简体" w:cs="方正楷体简体"/>
          <w:b/>
          <w:bCs w:val="0"/>
          <w:color w:val="auto"/>
          <w:kern w:val="2"/>
          <w:sz w:val="32"/>
          <w:szCs w:val="32"/>
          <w:lang w:val="en-US" w:eastAsia="zh-CN" w:bidi="ar-SA"/>
        </w:rPr>
      </w:pPr>
      <w:r>
        <w:rPr>
          <w:rFonts w:hint="eastAsia" w:ascii="方正楷体简体" w:hAnsi="方正楷体简体" w:eastAsia="方正楷体简体" w:cs="方正楷体简体"/>
          <w:b/>
          <w:bCs w:val="0"/>
          <w:color w:val="auto"/>
          <w:kern w:val="2"/>
          <w:sz w:val="32"/>
          <w:szCs w:val="32"/>
          <w:lang w:val="en-US" w:eastAsia="zh-CN" w:bidi="ar-SA"/>
        </w:rPr>
        <w:t>（一）主动公开情况</w:t>
      </w:r>
    </w:p>
    <w:p w14:paraId="096BA4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Fonts w:hint="eastAsia" w:ascii="Times New Roman" w:hAnsi="Times New Roman" w:eastAsia="方正仿宋简体" w:cs="Times New Roman"/>
          <w:b/>
          <w:bCs w:val="0"/>
          <w:color w:val="auto"/>
          <w:kern w:val="2"/>
          <w:sz w:val="32"/>
          <w:szCs w:val="32"/>
          <w:lang w:val="en-US" w:eastAsia="zh-CN" w:bidi="ar-SA"/>
        </w:rPr>
      </w:pPr>
      <w:r>
        <w:rPr>
          <w:rFonts w:hint="eastAsia" w:ascii="Times New Roman" w:hAnsi="Times New Roman" w:eastAsia="方正仿宋简体" w:cs="Times New Roman"/>
          <w:b/>
          <w:bCs w:val="0"/>
          <w:color w:val="auto"/>
          <w:kern w:val="2"/>
          <w:sz w:val="32"/>
          <w:szCs w:val="32"/>
          <w:lang w:val="en-US" w:eastAsia="zh-CN" w:bidi="ar-SA"/>
        </w:rPr>
        <w:t>围绕本部门重点工作，着力加强信息公开与业务开展的融合，不断提升主动公开工作实效。在管委会官网“稳岗就业”专栏，集中整合并持续发布就业创业相关政策及岗位信息，其中：就业政策板块信息发布2条，公示公告板块信息发布10条，补贴信息板块发布30条，就业服务板块信息发布7条；“社会保险”专栏，保险政策板块信息发布6条，信息披露板块发布11条，医疗保险板块信息发布14条。</w:t>
      </w:r>
    </w:p>
    <w:p w14:paraId="58F485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right="0"/>
        <w:jc w:val="center"/>
      </w:pPr>
      <w:r>
        <w:drawing>
          <wp:inline distT="0" distB="0" distL="114300" distR="114300">
            <wp:extent cx="4822825" cy="2743200"/>
            <wp:effectExtent l="4445" t="5080" r="11430" b="7620"/>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4D9270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right="0"/>
        <w:jc w:val="center"/>
        <w:rPr>
          <w:rFonts w:hint="eastAsia"/>
          <w:lang w:val="en-US" w:eastAsia="zh-CN"/>
        </w:rPr>
      </w:pPr>
      <w:r>
        <w:drawing>
          <wp:inline distT="0" distB="0" distL="114300" distR="114300">
            <wp:extent cx="4826000" cy="2743200"/>
            <wp:effectExtent l="4445" t="4445" r="8255" b="8255"/>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25737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Fonts w:hint="eastAsia" w:ascii="方正楷体简体" w:hAnsi="方正楷体简体" w:eastAsia="方正楷体简体" w:cs="方正楷体简体"/>
          <w:b/>
          <w:bCs w:val="0"/>
          <w:color w:val="auto"/>
          <w:kern w:val="2"/>
          <w:sz w:val="32"/>
          <w:szCs w:val="32"/>
          <w:lang w:val="en-US" w:eastAsia="zh-CN" w:bidi="ar-SA"/>
        </w:rPr>
      </w:pPr>
      <w:r>
        <w:rPr>
          <w:rFonts w:hint="eastAsia" w:ascii="方正楷体简体" w:hAnsi="方正楷体简体" w:eastAsia="方正楷体简体" w:cs="方正楷体简体"/>
          <w:b/>
          <w:bCs w:val="0"/>
          <w:color w:val="auto"/>
          <w:kern w:val="2"/>
          <w:sz w:val="32"/>
          <w:szCs w:val="32"/>
          <w:lang w:val="en-US" w:eastAsia="zh-CN" w:bidi="ar-SA"/>
        </w:rPr>
        <w:t>（二）依申请公开情况</w:t>
      </w:r>
    </w:p>
    <w:p w14:paraId="4390A8CD">
      <w:pPr>
        <w:numPr>
          <w:ilvl w:val="0"/>
          <w:numId w:val="0"/>
        </w:numPr>
        <w:ind w:firstLine="643" w:firstLineChars="200"/>
        <w:rPr>
          <w:rFonts w:hint="eastAsia" w:ascii="Times New Roman" w:hAnsi="Times New Roman" w:eastAsia="方正仿宋简体" w:cs="Times New Roman"/>
          <w:b/>
          <w:bCs w:val="0"/>
          <w:color w:val="auto"/>
          <w:kern w:val="2"/>
          <w:sz w:val="32"/>
          <w:szCs w:val="32"/>
          <w:lang w:val="en-US" w:eastAsia="zh-CN" w:bidi="ar-SA"/>
        </w:rPr>
      </w:pPr>
      <w:r>
        <w:rPr>
          <w:rFonts w:hint="eastAsia" w:ascii="Times New Roman" w:hAnsi="Times New Roman" w:eastAsia="方正仿宋简体" w:cs="Times New Roman"/>
          <w:b/>
          <w:bCs w:val="0"/>
          <w:color w:val="auto"/>
          <w:kern w:val="2"/>
          <w:sz w:val="32"/>
          <w:szCs w:val="32"/>
          <w:lang w:val="en-US" w:eastAsia="zh-CN" w:bidi="ar-SA"/>
        </w:rPr>
        <w:t>2025年，区社保就业服务部未收到政府信息公开申请。</w:t>
      </w:r>
    </w:p>
    <w:p w14:paraId="1591C0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Fonts w:hint="eastAsia" w:ascii="方正楷体简体" w:hAnsi="方正楷体简体" w:eastAsia="方正楷体简体" w:cs="方正楷体简体"/>
          <w:b/>
          <w:bCs w:val="0"/>
          <w:color w:val="auto"/>
          <w:kern w:val="2"/>
          <w:sz w:val="32"/>
          <w:szCs w:val="32"/>
          <w:lang w:val="en-US" w:eastAsia="zh-CN" w:bidi="ar-SA"/>
        </w:rPr>
      </w:pPr>
      <w:r>
        <w:rPr>
          <w:rFonts w:hint="eastAsia" w:ascii="方正楷体简体" w:hAnsi="方正楷体简体" w:eastAsia="方正楷体简体" w:cs="方正楷体简体"/>
          <w:b/>
          <w:bCs w:val="0"/>
          <w:color w:val="auto"/>
          <w:kern w:val="2"/>
          <w:sz w:val="32"/>
          <w:szCs w:val="32"/>
          <w:lang w:val="en-US" w:eastAsia="zh-CN" w:bidi="ar-SA"/>
        </w:rPr>
        <w:t>（三）政府信息管理情况</w:t>
      </w:r>
    </w:p>
    <w:p w14:paraId="051FEA6C">
      <w:pPr>
        <w:numPr>
          <w:ilvl w:val="0"/>
          <w:numId w:val="0"/>
        </w:numPr>
        <w:ind w:firstLine="643" w:firstLineChars="200"/>
        <w:rPr>
          <w:rFonts w:hint="eastAsia" w:ascii="Times New Roman" w:hAnsi="Times New Roman" w:eastAsia="方正仿宋简体" w:cs="Times New Roman"/>
          <w:b/>
          <w:bCs w:val="0"/>
          <w:color w:val="auto"/>
          <w:kern w:val="2"/>
          <w:sz w:val="32"/>
          <w:szCs w:val="32"/>
          <w:lang w:val="en-US" w:eastAsia="zh-CN" w:bidi="ar-SA"/>
        </w:rPr>
      </w:pPr>
      <w:r>
        <w:rPr>
          <w:rFonts w:hint="eastAsia" w:ascii="Times New Roman" w:hAnsi="Times New Roman" w:eastAsia="方正仿宋简体" w:cs="Times New Roman"/>
          <w:b/>
          <w:bCs w:val="0"/>
          <w:color w:val="auto"/>
          <w:kern w:val="2"/>
          <w:sz w:val="32"/>
          <w:szCs w:val="32"/>
          <w:lang w:val="en-US" w:eastAsia="zh-CN" w:bidi="ar-SA"/>
        </w:rPr>
        <w:t>通过“稳岗就业”、“社会保险”板块，发布本领域就业创业、社会保险、医疗保险等政策信息、业务信息，提升公众对于政策的知晓度，提升政府工作的透明度。2025年未发生不应公开信息公开和失密泄密等情况。</w:t>
      </w:r>
    </w:p>
    <w:p w14:paraId="32BA9C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Fonts w:hint="eastAsia" w:ascii="方正楷体简体" w:hAnsi="方正楷体简体" w:eastAsia="方正楷体简体" w:cs="方正楷体简体"/>
          <w:b/>
          <w:bCs w:val="0"/>
          <w:color w:val="auto"/>
          <w:kern w:val="2"/>
          <w:sz w:val="32"/>
          <w:szCs w:val="32"/>
          <w:lang w:val="en-US" w:eastAsia="zh-CN" w:bidi="ar-SA"/>
        </w:rPr>
      </w:pPr>
      <w:r>
        <w:rPr>
          <w:rFonts w:hint="eastAsia" w:ascii="方正楷体简体" w:hAnsi="方正楷体简体" w:eastAsia="方正楷体简体" w:cs="方正楷体简体"/>
          <w:b/>
          <w:bCs w:val="0"/>
          <w:color w:val="auto"/>
          <w:kern w:val="2"/>
          <w:sz w:val="32"/>
          <w:szCs w:val="32"/>
          <w:lang w:val="en-US" w:eastAsia="zh-CN" w:bidi="ar-SA"/>
        </w:rPr>
        <w:t>（四）政府信息公开平台建设情况</w:t>
      </w:r>
    </w:p>
    <w:p w14:paraId="5885AA43">
      <w:pPr>
        <w:numPr>
          <w:ilvl w:val="0"/>
          <w:numId w:val="0"/>
        </w:numPr>
        <w:ind w:firstLine="643" w:firstLineChars="200"/>
        <w:rPr>
          <w:rFonts w:hint="eastAsia" w:ascii="Times New Roman" w:hAnsi="Times New Roman" w:eastAsia="方正仿宋简体" w:cs="Times New Roman"/>
          <w:b/>
          <w:bCs w:val="0"/>
          <w:color w:val="auto"/>
          <w:kern w:val="2"/>
          <w:sz w:val="32"/>
          <w:szCs w:val="32"/>
          <w:lang w:val="en-US" w:eastAsia="zh-CN" w:bidi="ar-SA"/>
        </w:rPr>
      </w:pPr>
      <w:r>
        <w:rPr>
          <w:rFonts w:hint="eastAsia" w:ascii="Times New Roman" w:hAnsi="Times New Roman" w:eastAsia="方正仿宋简体" w:cs="Times New Roman"/>
          <w:b/>
          <w:bCs w:val="0"/>
          <w:color w:val="auto"/>
          <w:kern w:val="2"/>
          <w:sz w:val="32"/>
          <w:szCs w:val="32"/>
          <w:lang w:val="en-US" w:eastAsia="zh-CN" w:bidi="ar-SA"/>
        </w:rPr>
        <w:t>我部持续强化政府信息公开平台建设，通过在政府门户网站“稳岗就业”专栏定期发布就业政策、补贴信息、公示公告等，提升相关领域信息公开效能。同时，积极利用“济宁就业人才”微信公众号“求职招聘”栏目，动态汇总并推送岗位招聘、薪酬及要求等信息，为群众查询招聘信息提供便利。</w:t>
      </w:r>
    </w:p>
    <w:p w14:paraId="2AC9A4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Fonts w:hint="eastAsia" w:ascii="方正楷体简体" w:hAnsi="方正楷体简体" w:eastAsia="方正楷体简体" w:cs="方正楷体简体"/>
          <w:b/>
          <w:bCs w:val="0"/>
          <w:color w:val="auto"/>
          <w:kern w:val="2"/>
          <w:sz w:val="32"/>
          <w:szCs w:val="32"/>
          <w:lang w:val="en-US" w:eastAsia="zh-CN" w:bidi="ar-SA"/>
        </w:rPr>
      </w:pPr>
      <w:r>
        <w:rPr>
          <w:rFonts w:hint="eastAsia" w:ascii="方正楷体简体" w:hAnsi="方正楷体简体" w:eastAsia="方正楷体简体" w:cs="方正楷体简体"/>
          <w:b/>
          <w:bCs w:val="0"/>
          <w:color w:val="auto"/>
          <w:kern w:val="2"/>
          <w:sz w:val="32"/>
          <w:szCs w:val="32"/>
          <w:lang w:val="en-US" w:eastAsia="zh-CN" w:bidi="ar-SA"/>
        </w:rPr>
        <w:t>（五）监督保障情况</w:t>
      </w:r>
    </w:p>
    <w:p w14:paraId="7F5AF01B">
      <w:pPr>
        <w:numPr>
          <w:ilvl w:val="0"/>
          <w:numId w:val="0"/>
        </w:numPr>
        <w:ind w:firstLine="643" w:firstLineChars="200"/>
        <w:rPr>
          <w:rFonts w:hint="eastAsia" w:ascii="Times New Roman" w:hAnsi="Times New Roman" w:eastAsia="方正仿宋简体" w:cs="Times New Roman"/>
          <w:b/>
          <w:bCs w:val="0"/>
          <w:color w:val="auto"/>
          <w:kern w:val="2"/>
          <w:sz w:val="32"/>
          <w:szCs w:val="32"/>
          <w:lang w:val="en-US" w:eastAsia="zh-CN" w:bidi="ar-SA"/>
        </w:rPr>
      </w:pPr>
      <w:r>
        <w:rPr>
          <w:rFonts w:hint="eastAsia" w:ascii="Times New Roman" w:hAnsi="Times New Roman" w:eastAsia="方正仿宋简体" w:cs="Times New Roman"/>
          <w:b/>
          <w:bCs w:val="0"/>
          <w:color w:val="auto"/>
          <w:kern w:val="2"/>
          <w:sz w:val="32"/>
          <w:szCs w:val="32"/>
          <w:lang w:val="en-US" w:eastAsia="zh-CN" w:bidi="ar-SA"/>
        </w:rPr>
        <w:t>为确保政务公开工作有效落实，我单位切实履行主体责任，紧密结合业务实际，严格贯彻“主要领导主要抓、分管领导具体抓、相关科室分工落实”的工作机制，将政务公开任务纳入本部工作体系，实现同步部署、同步检查、同步考核，保障各项工作协同推进、取得实效。</w:t>
      </w:r>
    </w:p>
    <w:p w14:paraId="57775E3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right="0" w:rightChars="0" w:firstLine="643" w:firstLineChars="200"/>
        <w:jc w:val="both"/>
        <w:textAlignment w:val="auto"/>
        <w:rPr>
          <w:rFonts w:hint="eastAsia" w:ascii="方正黑体简体" w:hAnsi="方正黑体简体" w:eastAsia="方正黑体简体" w:cs="方正黑体简体"/>
          <w:b/>
          <w:bCs w:val="0"/>
          <w:i w:val="0"/>
          <w:iCs w:val="0"/>
          <w:caps w:val="0"/>
          <w:color w:val="auto"/>
          <w:spacing w:val="0"/>
          <w:sz w:val="32"/>
          <w:szCs w:val="32"/>
          <w:shd w:val="clear" w:color="auto" w:fill="FFFFFF"/>
          <w:lang w:eastAsia="zh-CN"/>
        </w:rPr>
      </w:pPr>
      <w:r>
        <w:rPr>
          <w:rFonts w:hint="eastAsia" w:ascii="方正黑体简体" w:hAnsi="方正黑体简体" w:eastAsia="方正黑体简体" w:cs="方正黑体简体"/>
          <w:b/>
          <w:bCs w:val="0"/>
          <w:i w:val="0"/>
          <w:iCs w:val="0"/>
          <w:caps w:val="0"/>
          <w:color w:val="auto"/>
          <w:spacing w:val="0"/>
          <w:sz w:val="32"/>
          <w:szCs w:val="32"/>
          <w:shd w:val="clear" w:color="auto" w:fill="FFFFFF"/>
          <w:lang w:eastAsia="zh-CN"/>
        </w:rPr>
        <w:t>二、主动公开政府信息情况</w:t>
      </w:r>
    </w:p>
    <w:tbl>
      <w:tblPr>
        <w:tblStyle w:val="4"/>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14:paraId="487AF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2E1C93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第二十条第（一）项</w:t>
            </w:r>
          </w:p>
        </w:tc>
      </w:tr>
      <w:tr w14:paraId="44CE8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846C4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696B44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29DED2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272438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现行有效件数</w:t>
            </w:r>
          </w:p>
        </w:tc>
      </w:tr>
      <w:tr w14:paraId="29F0A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3543B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F915E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宋体" w:hAnsi="宋体" w:cs="宋体"/>
                <w:b/>
                <w:bCs w:val="0"/>
                <w:color w:val="auto"/>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63D5B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宋体" w:hAnsi="宋体" w:cs="宋体"/>
                <w:b/>
                <w:bCs w:val="0"/>
                <w:color w:val="auto"/>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CEDC1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宋体" w:hAnsi="宋体" w:eastAsia="宋体" w:cs="宋体"/>
                <w:b/>
                <w:bCs w:val="0"/>
                <w:color w:val="auto"/>
                <w:kern w:val="0"/>
                <w:sz w:val="20"/>
                <w:szCs w:val="20"/>
                <w:lang w:val="en-US" w:eastAsia="zh-CN" w:bidi="ar"/>
              </w:rPr>
              <w:t>0</w:t>
            </w:r>
          </w:p>
        </w:tc>
      </w:tr>
      <w:tr w14:paraId="29EE6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4ED60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A197F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宋体" w:hAnsi="宋体" w:cs="宋体"/>
                <w:b/>
                <w:bCs w:val="0"/>
                <w:color w:val="auto"/>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8C017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宋体" w:hAnsi="宋体" w:cs="宋体"/>
                <w:b/>
                <w:bCs w:val="0"/>
                <w:color w:val="auto"/>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4BE86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宋体" w:hAnsi="宋体" w:eastAsia="宋体" w:cs="宋体"/>
                <w:b/>
                <w:bCs w:val="0"/>
                <w:color w:val="auto"/>
                <w:kern w:val="0"/>
                <w:sz w:val="20"/>
                <w:szCs w:val="20"/>
                <w:lang w:val="en-US" w:eastAsia="zh-CN" w:bidi="ar"/>
              </w:rPr>
              <w:t>0</w:t>
            </w:r>
          </w:p>
        </w:tc>
      </w:tr>
      <w:tr w14:paraId="584C1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5654DD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第二十条第（五）项</w:t>
            </w:r>
          </w:p>
        </w:tc>
      </w:tr>
      <w:tr w14:paraId="359F9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19F1C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22A46A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本年处理决定数量</w:t>
            </w:r>
          </w:p>
        </w:tc>
      </w:tr>
      <w:tr w14:paraId="4B47B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BA87E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2818F7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宋体" w:hAnsi="宋体" w:eastAsia="宋体" w:cs="宋体"/>
                <w:b/>
                <w:bCs w:val="0"/>
                <w:color w:val="auto"/>
                <w:kern w:val="0"/>
                <w:sz w:val="20"/>
                <w:szCs w:val="20"/>
                <w:lang w:val="en-US" w:eastAsia="zh-CN" w:bidi="ar"/>
              </w:rPr>
              <w:t>0</w:t>
            </w:r>
          </w:p>
        </w:tc>
      </w:tr>
      <w:tr w14:paraId="0A160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2258B5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第二十条第（六）项</w:t>
            </w:r>
          </w:p>
        </w:tc>
      </w:tr>
      <w:tr w14:paraId="6ED38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1038B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67B36B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本年处理决定数量</w:t>
            </w:r>
          </w:p>
        </w:tc>
      </w:tr>
      <w:tr w14:paraId="1EB92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5229D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2DF3D8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宋体" w:hAnsi="宋体" w:cs="宋体"/>
                <w:b/>
                <w:bCs w:val="0"/>
                <w:color w:val="auto"/>
                <w:kern w:val="0"/>
                <w:sz w:val="20"/>
                <w:szCs w:val="20"/>
                <w:lang w:val="en-US" w:eastAsia="zh-CN" w:bidi="ar"/>
              </w:rPr>
              <w:t>0</w:t>
            </w:r>
          </w:p>
        </w:tc>
      </w:tr>
      <w:tr w14:paraId="7C5C5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19063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686E04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宋体" w:hAnsi="宋体" w:cs="宋体"/>
                <w:b/>
                <w:bCs w:val="0"/>
                <w:color w:val="auto"/>
                <w:kern w:val="0"/>
                <w:sz w:val="20"/>
                <w:szCs w:val="20"/>
                <w:lang w:val="en-US" w:eastAsia="zh-CN" w:bidi="ar"/>
              </w:rPr>
              <w:t>0</w:t>
            </w:r>
          </w:p>
        </w:tc>
      </w:tr>
      <w:tr w14:paraId="7C1F6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1F1C68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第二十条第（八）项</w:t>
            </w:r>
          </w:p>
        </w:tc>
      </w:tr>
      <w:tr w14:paraId="2130E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E36BB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511DAD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本年收费金额（单位：万元）</w:t>
            </w:r>
          </w:p>
        </w:tc>
      </w:tr>
      <w:tr w14:paraId="71657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DA464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697F36D4">
            <w:pPr>
              <w:jc w:val="center"/>
              <w:rPr>
                <w:rFonts w:hint="eastAsia" w:ascii="宋体" w:eastAsia="宋体"/>
                <w:b/>
                <w:bCs w:val="0"/>
                <w:color w:val="auto"/>
                <w:sz w:val="24"/>
                <w:szCs w:val="24"/>
                <w:lang w:val="en-US" w:eastAsia="zh-CN"/>
              </w:rPr>
            </w:pPr>
            <w:r>
              <w:rPr>
                <w:rFonts w:hint="eastAsia" w:ascii="宋体"/>
                <w:b/>
                <w:bCs w:val="0"/>
                <w:color w:val="auto"/>
                <w:sz w:val="24"/>
                <w:szCs w:val="24"/>
                <w:lang w:val="en-US" w:eastAsia="zh-CN"/>
              </w:rPr>
              <w:t>0</w:t>
            </w:r>
          </w:p>
        </w:tc>
      </w:tr>
    </w:tbl>
    <w:p w14:paraId="5940274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right="0" w:rightChars="0" w:firstLine="643" w:firstLineChars="200"/>
        <w:jc w:val="both"/>
        <w:textAlignment w:val="auto"/>
        <w:rPr>
          <w:rFonts w:hint="eastAsia" w:ascii="方正黑体简体" w:hAnsi="方正黑体简体" w:eastAsia="方正黑体简体" w:cs="方正黑体简体"/>
          <w:b/>
          <w:bCs w:val="0"/>
          <w:i w:val="0"/>
          <w:iCs w:val="0"/>
          <w:caps w:val="0"/>
          <w:color w:val="auto"/>
          <w:spacing w:val="0"/>
          <w:sz w:val="32"/>
          <w:szCs w:val="32"/>
          <w:shd w:val="clear" w:color="auto" w:fill="FFFFFF"/>
          <w:lang w:eastAsia="zh-CN"/>
        </w:rPr>
      </w:pPr>
      <w:r>
        <w:rPr>
          <w:rFonts w:hint="eastAsia" w:ascii="方正黑体简体" w:hAnsi="方正黑体简体" w:eastAsia="方正黑体简体" w:cs="方正黑体简体"/>
          <w:b/>
          <w:bCs w:val="0"/>
          <w:i w:val="0"/>
          <w:iCs w:val="0"/>
          <w:caps w:val="0"/>
          <w:color w:val="auto"/>
          <w:spacing w:val="0"/>
          <w:sz w:val="32"/>
          <w:szCs w:val="32"/>
          <w:shd w:val="clear" w:color="auto" w:fill="FFFFFF"/>
          <w:lang w:val="en-US" w:eastAsia="zh-CN"/>
        </w:rPr>
        <w:t>三、</w:t>
      </w:r>
      <w:r>
        <w:rPr>
          <w:rFonts w:hint="eastAsia" w:ascii="方正黑体简体" w:hAnsi="方正黑体简体" w:eastAsia="方正黑体简体" w:cs="方正黑体简体"/>
          <w:b/>
          <w:bCs w:val="0"/>
          <w:i w:val="0"/>
          <w:iCs w:val="0"/>
          <w:caps w:val="0"/>
          <w:color w:val="auto"/>
          <w:spacing w:val="0"/>
          <w:sz w:val="32"/>
          <w:szCs w:val="32"/>
          <w:shd w:val="clear" w:color="auto" w:fill="FFFFFF"/>
          <w:lang w:eastAsia="zh-CN"/>
        </w:rPr>
        <w:t>收到和处理政府信息公开申请情况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19"/>
        <w:gridCol w:w="689"/>
        <w:gridCol w:w="689"/>
        <w:gridCol w:w="688"/>
        <w:gridCol w:w="688"/>
        <w:gridCol w:w="688"/>
        <w:gridCol w:w="688"/>
        <w:gridCol w:w="688"/>
      </w:tblGrid>
      <w:tr w14:paraId="0D4A8B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1508FB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ascii="楷体" w:hAnsi="楷体" w:eastAsia="楷体" w:cs="楷体"/>
                <w:b/>
                <w:bCs w:val="0"/>
                <w:color w:val="auto"/>
                <w:kern w:val="0"/>
                <w:sz w:val="20"/>
                <w:szCs w:val="20"/>
                <w:lang w:val="en-US" w:eastAsia="zh-CN" w:bidi="ar"/>
              </w:rPr>
              <w:t>（本列数据的勾稽关系为：第一项加第二项之和，等于第三项加第四项之和）</w:t>
            </w:r>
          </w:p>
        </w:tc>
        <w:tc>
          <w:tcPr>
            <w:tcW w:w="4818"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681553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申请人情况</w:t>
            </w:r>
          </w:p>
        </w:tc>
      </w:tr>
      <w:tr w14:paraId="454AED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1C8B28BF">
            <w:pPr>
              <w:rPr>
                <w:rFonts w:hint="eastAsia" w:ascii="宋体"/>
                <w:b/>
                <w:bCs w:val="0"/>
                <w:color w:val="auto"/>
                <w:sz w:val="24"/>
                <w:szCs w:val="24"/>
              </w:rPr>
            </w:pPr>
          </w:p>
        </w:tc>
        <w:tc>
          <w:tcPr>
            <w:tcW w:w="689" w:type="dxa"/>
            <w:vMerge w:val="restart"/>
            <w:tcBorders>
              <w:top w:val="nil"/>
              <w:left w:val="nil"/>
              <w:bottom w:val="single" w:color="auto" w:sz="8" w:space="0"/>
              <w:right w:val="single" w:color="auto" w:sz="8" w:space="0"/>
            </w:tcBorders>
            <w:noWrap w:val="0"/>
            <w:tcMar>
              <w:left w:w="57" w:type="dxa"/>
              <w:right w:w="57" w:type="dxa"/>
            </w:tcMar>
            <w:vAlign w:val="center"/>
          </w:tcPr>
          <w:p w14:paraId="01F665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自然人</w:t>
            </w:r>
          </w:p>
        </w:tc>
        <w:tc>
          <w:tcPr>
            <w:tcW w:w="3441"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14:paraId="4FF6EB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法人或其他组织</w:t>
            </w:r>
          </w:p>
        </w:tc>
        <w:tc>
          <w:tcPr>
            <w:tcW w:w="688"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14:paraId="600A8D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总计</w:t>
            </w:r>
          </w:p>
        </w:tc>
      </w:tr>
      <w:tr w14:paraId="56FEAA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091E0BE6">
            <w:pPr>
              <w:rPr>
                <w:rFonts w:hint="eastAsia" w:ascii="宋体"/>
                <w:b/>
                <w:bCs w:val="0"/>
                <w:color w:val="auto"/>
                <w:sz w:val="24"/>
                <w:szCs w:val="24"/>
              </w:rPr>
            </w:pPr>
          </w:p>
        </w:tc>
        <w:tc>
          <w:tcPr>
            <w:tcW w:w="689" w:type="dxa"/>
            <w:vMerge w:val="continue"/>
            <w:tcBorders>
              <w:top w:val="nil"/>
              <w:left w:val="nil"/>
              <w:bottom w:val="single" w:color="auto" w:sz="8" w:space="0"/>
              <w:right w:val="single" w:color="auto" w:sz="8" w:space="0"/>
            </w:tcBorders>
            <w:noWrap w:val="0"/>
            <w:tcMar>
              <w:left w:w="57" w:type="dxa"/>
              <w:right w:w="57" w:type="dxa"/>
            </w:tcMar>
            <w:vAlign w:val="center"/>
          </w:tcPr>
          <w:p w14:paraId="4C3522D0">
            <w:pPr>
              <w:rPr>
                <w:rFonts w:hint="eastAsia" w:ascii="宋体"/>
                <w:b/>
                <w:bCs w:val="0"/>
                <w:color w:val="auto"/>
                <w:sz w:val="24"/>
                <w:szCs w:val="24"/>
              </w:rPr>
            </w:pPr>
          </w:p>
        </w:tc>
        <w:tc>
          <w:tcPr>
            <w:tcW w:w="689" w:type="dxa"/>
            <w:tcBorders>
              <w:top w:val="nil"/>
              <w:left w:val="nil"/>
              <w:bottom w:val="single" w:color="auto" w:sz="8" w:space="0"/>
              <w:right w:val="single" w:color="auto" w:sz="8" w:space="0"/>
            </w:tcBorders>
            <w:noWrap w:val="0"/>
            <w:tcMar>
              <w:left w:w="57" w:type="dxa"/>
              <w:right w:w="57" w:type="dxa"/>
            </w:tcMar>
            <w:vAlign w:val="center"/>
          </w:tcPr>
          <w:p w14:paraId="7874B9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商业</w:t>
            </w:r>
          </w:p>
          <w:p w14:paraId="4343E2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企业</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6E852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科研</w:t>
            </w:r>
          </w:p>
          <w:p w14:paraId="5A968F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034628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64A7C9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30ED83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其他</w:t>
            </w:r>
          </w:p>
        </w:tc>
        <w:tc>
          <w:tcPr>
            <w:tcW w:w="688"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14:paraId="617F739A">
            <w:pPr>
              <w:rPr>
                <w:rFonts w:hint="eastAsia" w:ascii="宋体"/>
                <w:b/>
                <w:bCs w:val="0"/>
                <w:color w:val="auto"/>
                <w:sz w:val="24"/>
                <w:szCs w:val="24"/>
              </w:rPr>
            </w:pPr>
          </w:p>
        </w:tc>
      </w:tr>
      <w:tr w14:paraId="127186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4E8DC4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一、本年新收政府信息公开申请数量</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04A5E6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C325A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9162D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F8E79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6C47E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01358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F5167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r>
      <w:tr w14:paraId="78609C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617394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二、上年结转政府信息公开申请数量</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76ADD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065D60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86404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4B897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E9331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AC2F9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D9883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r>
      <w:tr w14:paraId="21ACB9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14:paraId="75EB88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三、本年度办理结果</w:t>
            </w: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14:paraId="2C5CC1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（一）予以公开</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3559D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2F2E5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DDE2A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51BEC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D2A61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6EE8C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6C8641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r>
      <w:tr w14:paraId="0527DD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E7D9C4D">
            <w:pPr>
              <w:rPr>
                <w:rFonts w:hint="eastAsia" w:ascii="宋体"/>
                <w:b/>
                <w:bCs w:val="0"/>
                <w:color w:val="auto"/>
                <w:sz w:val="24"/>
                <w:szCs w:val="24"/>
              </w:rPr>
            </w:pP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14:paraId="0074FB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（二）部分公开</w:t>
            </w:r>
            <w:r>
              <w:rPr>
                <w:rFonts w:hint="eastAsia" w:ascii="楷体" w:hAnsi="楷体" w:eastAsia="楷体" w:cs="楷体"/>
                <w:b/>
                <w:bCs w:val="0"/>
                <w:color w:val="auto"/>
                <w:kern w:val="0"/>
                <w:sz w:val="20"/>
                <w:szCs w:val="20"/>
                <w:lang w:val="en-US" w:eastAsia="zh-CN" w:bidi="ar"/>
              </w:rPr>
              <w:t>（区分处理的，只计这一情形，不计其他情形）</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03D78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06B2D1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C74E7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DA111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107A8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1463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1EAF9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r>
      <w:tr w14:paraId="1613C1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2B99ECB">
            <w:pPr>
              <w:rPr>
                <w:rFonts w:hint="eastAsia" w:ascii="宋体"/>
                <w:b/>
                <w:bCs w:val="0"/>
                <w:color w:val="auto"/>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14:paraId="4B43EC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（三）不予公开</w:t>
            </w:r>
          </w:p>
        </w:tc>
        <w:tc>
          <w:tcPr>
            <w:tcW w:w="3219" w:type="dxa"/>
            <w:tcBorders>
              <w:top w:val="nil"/>
              <w:left w:val="nil"/>
              <w:bottom w:val="single" w:color="auto" w:sz="8" w:space="0"/>
              <w:right w:val="single" w:color="auto" w:sz="8" w:space="0"/>
            </w:tcBorders>
            <w:noWrap w:val="0"/>
            <w:tcMar>
              <w:left w:w="57" w:type="dxa"/>
              <w:right w:w="57" w:type="dxa"/>
            </w:tcMar>
            <w:vAlign w:val="top"/>
          </w:tcPr>
          <w:p w14:paraId="5B2D2E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1.属于国家秘密</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78848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8EB7E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E3D65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ED44B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A0926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5F93F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6E1097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r>
      <w:tr w14:paraId="1C4943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161972B4">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7E77221B">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1721CB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2.其他法</w:t>
            </w:r>
            <w:r>
              <w:rPr>
                <w:rFonts w:hint="eastAsia" w:ascii="宋体" w:hAnsi="宋体" w:cs="宋体"/>
                <w:b/>
                <w:bCs w:val="0"/>
                <w:color w:val="auto"/>
                <w:kern w:val="0"/>
                <w:sz w:val="20"/>
                <w:szCs w:val="20"/>
                <w:lang w:val="en-US" w:eastAsia="zh-CN" w:bidi="ar"/>
              </w:rPr>
              <w:t>律和</w:t>
            </w:r>
            <w:r>
              <w:rPr>
                <w:rFonts w:hint="eastAsia" w:ascii="宋体" w:hAnsi="宋体" w:eastAsia="宋体" w:cs="宋体"/>
                <w:b/>
                <w:bCs w:val="0"/>
                <w:color w:val="auto"/>
                <w:kern w:val="0"/>
                <w:sz w:val="20"/>
                <w:szCs w:val="20"/>
                <w:lang w:val="en-US" w:eastAsia="zh-CN" w:bidi="ar"/>
              </w:rPr>
              <w:t>行政法规禁止公开</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798792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9BE1D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D31E9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C040E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001B5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2137A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E3198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r>
      <w:tr w14:paraId="6B1765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7A5E0AB">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0ABA219F">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7AD5E3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3.危及“三安全一稳定”</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645A5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34BAB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1AD9D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C680D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A7179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BA261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F49C9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r>
      <w:tr w14:paraId="73188D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C0401EE">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35418A5C">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629BAA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4.保护第三方合法权益</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724A23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23DBE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29D35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00620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A56D0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D732A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963E9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r>
      <w:tr w14:paraId="7353CE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24365EF">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57AEA6CC">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2C9E49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5.属于三类内部事务信息</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0A4827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47536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9FFCD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7147C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C6937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F8EBD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2101D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r>
      <w:tr w14:paraId="19F02F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F72E22C">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227BA51A">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16D8EE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6.属于四类过程性信息</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055E5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0991E2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C27D0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F8DBF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40EF6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4233C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C7AC5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r>
      <w:tr w14:paraId="556C75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700EA3CA">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419F5DF6">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2AADD3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7.属于行政执法案卷</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0249A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75754B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9F3AE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0C987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AC51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3EB26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523AA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r>
      <w:tr w14:paraId="36430B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770DC30">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0A9A3EE8">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581D82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8.属于行政查询事项</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5BAA8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1306F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84C82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2B2C7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73B15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9FCE9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DFEAB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r>
      <w:tr w14:paraId="4873A9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1FF27E0">
            <w:pPr>
              <w:rPr>
                <w:rFonts w:hint="eastAsia" w:ascii="宋体"/>
                <w:b/>
                <w:bCs w:val="0"/>
                <w:color w:val="auto"/>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14:paraId="464E99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（四）无法提供</w:t>
            </w:r>
          </w:p>
        </w:tc>
        <w:tc>
          <w:tcPr>
            <w:tcW w:w="3219" w:type="dxa"/>
            <w:tcBorders>
              <w:top w:val="nil"/>
              <w:left w:val="nil"/>
              <w:bottom w:val="single" w:color="auto" w:sz="8" w:space="0"/>
              <w:right w:val="single" w:color="auto" w:sz="8" w:space="0"/>
            </w:tcBorders>
            <w:noWrap w:val="0"/>
            <w:tcMar>
              <w:left w:w="57" w:type="dxa"/>
              <w:right w:w="57" w:type="dxa"/>
            </w:tcMar>
            <w:vAlign w:val="top"/>
          </w:tcPr>
          <w:p w14:paraId="607C3B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1.本机关不掌握相关政府信息</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D1BC2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10BC1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116E9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3B552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270A3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7D4E3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8EA9F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r>
      <w:tr w14:paraId="2312A9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CC7B5E2">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5DADF356">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5E6E54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2.没有现成信息需要另行制作</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D01F1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736CF0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45507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3E222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7D29A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7C8CC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8465E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r>
      <w:tr w14:paraId="285544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854B0F0">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4D6FCAD8">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4A6250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3.补正后申请内容仍不明确</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0489D2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080967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35E62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2E7E4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7C248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1F6FD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1ACCD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r>
      <w:tr w14:paraId="05190D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34F697D">
            <w:pPr>
              <w:rPr>
                <w:rFonts w:hint="eastAsia" w:ascii="宋体"/>
                <w:b/>
                <w:bCs w:val="0"/>
                <w:color w:val="auto"/>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14:paraId="42036C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（五）不予处理</w:t>
            </w:r>
          </w:p>
        </w:tc>
        <w:tc>
          <w:tcPr>
            <w:tcW w:w="3219" w:type="dxa"/>
            <w:tcBorders>
              <w:top w:val="nil"/>
              <w:left w:val="nil"/>
              <w:bottom w:val="single" w:color="auto" w:sz="8" w:space="0"/>
              <w:right w:val="single" w:color="auto" w:sz="8" w:space="0"/>
            </w:tcBorders>
            <w:noWrap w:val="0"/>
            <w:tcMar>
              <w:left w:w="57" w:type="dxa"/>
              <w:right w:w="57" w:type="dxa"/>
            </w:tcMar>
            <w:vAlign w:val="top"/>
          </w:tcPr>
          <w:p w14:paraId="7BC60F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1.信访举报投诉类申请</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758C48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9D485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1F75D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36FC8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38DE7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21478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4521A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r>
      <w:tr w14:paraId="54FED8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500BF04">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1AFE3A9E">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5BE0E4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2.重复申请</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CCA24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47DDE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07FDD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F7409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BFBFB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8D71F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90619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r>
      <w:tr w14:paraId="18661B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13A2DF5">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64DA8686">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054B64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3.要求提供公开出版物</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6EB61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9ADCB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D51D3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53CAF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75B68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59DD6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C7E8B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r>
      <w:tr w14:paraId="64C304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E9452D0">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1B3610D2">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0A1746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4.无正当理由大量反复申请</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3A811F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5980E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E29E7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00A94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0CCF6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551EF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91507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r>
      <w:tr w14:paraId="2F1C62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DCD8F23">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249EBE40">
            <w:pPr>
              <w:rPr>
                <w:rFonts w:hint="eastAsia" w:ascii="宋体"/>
                <w:b/>
                <w:bCs w:val="0"/>
                <w:color w:val="auto"/>
                <w:sz w:val="24"/>
                <w:szCs w:val="24"/>
              </w:rPr>
            </w:pPr>
          </w:p>
        </w:tc>
        <w:tc>
          <w:tcPr>
            <w:tcW w:w="3219" w:type="dxa"/>
            <w:tcBorders>
              <w:top w:val="nil"/>
              <w:left w:val="nil"/>
              <w:bottom w:val="outset" w:color="auto" w:sz="8" w:space="0"/>
              <w:right w:val="single" w:color="auto" w:sz="8" w:space="0"/>
            </w:tcBorders>
            <w:noWrap w:val="0"/>
            <w:tcMar>
              <w:left w:w="57" w:type="dxa"/>
              <w:right w:w="57" w:type="dxa"/>
            </w:tcMar>
            <w:vAlign w:val="center"/>
          </w:tcPr>
          <w:p w14:paraId="523B74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bCs w:val="0"/>
                <w:color w:val="auto"/>
              </w:rPr>
            </w:pPr>
            <w:r>
              <w:rPr>
                <w:rFonts w:hint="eastAsia" w:ascii="宋体" w:hAnsi="宋体" w:eastAsia="宋体" w:cs="宋体"/>
                <w:b/>
                <w:bCs w:val="0"/>
                <w:color w:val="auto"/>
                <w:kern w:val="0"/>
                <w:sz w:val="20"/>
                <w:szCs w:val="20"/>
                <w:lang w:val="en-US" w:eastAsia="zh-CN" w:bidi="ar"/>
              </w:rPr>
              <w:t>5.要求行政机关确认或重新出具已获取信息</w:t>
            </w:r>
          </w:p>
        </w:tc>
        <w:tc>
          <w:tcPr>
            <w:tcW w:w="689" w:type="dxa"/>
            <w:tcBorders>
              <w:top w:val="nil"/>
              <w:left w:val="nil"/>
              <w:bottom w:val="outset" w:color="auto" w:sz="8" w:space="0"/>
              <w:right w:val="single" w:color="auto" w:sz="8" w:space="0"/>
            </w:tcBorders>
            <w:noWrap w:val="0"/>
            <w:tcMar>
              <w:left w:w="57" w:type="dxa"/>
              <w:right w:w="57" w:type="dxa"/>
            </w:tcMar>
            <w:vAlign w:val="center"/>
          </w:tcPr>
          <w:p w14:paraId="68BB12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9" w:type="dxa"/>
            <w:tcBorders>
              <w:top w:val="nil"/>
              <w:left w:val="nil"/>
              <w:bottom w:val="outset" w:color="auto" w:sz="8" w:space="0"/>
              <w:right w:val="single" w:color="auto" w:sz="8" w:space="0"/>
            </w:tcBorders>
            <w:noWrap w:val="0"/>
            <w:tcMar>
              <w:left w:w="57" w:type="dxa"/>
              <w:right w:w="57" w:type="dxa"/>
            </w:tcMar>
            <w:vAlign w:val="center"/>
          </w:tcPr>
          <w:p w14:paraId="78EC65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1DD17A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3215E8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66E46C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591639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10BCC0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r>
      <w:tr w14:paraId="54CE9E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DF4E32E">
            <w:pPr>
              <w:rPr>
                <w:rFonts w:hint="eastAsia" w:ascii="宋体"/>
                <w:b/>
                <w:bCs w:val="0"/>
                <w:color w:val="auto"/>
                <w:sz w:val="24"/>
                <w:szCs w:val="24"/>
              </w:rPr>
            </w:pPr>
          </w:p>
        </w:tc>
        <w:tc>
          <w:tcPr>
            <w:tcW w:w="943"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14:paraId="787CD1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（六）其他处理</w:t>
            </w:r>
          </w:p>
        </w:tc>
        <w:tc>
          <w:tcPr>
            <w:tcW w:w="3219" w:type="dxa"/>
            <w:tcBorders>
              <w:top w:val="nil"/>
              <w:left w:val="nil"/>
              <w:bottom w:val="single" w:color="auto" w:sz="8" w:space="0"/>
              <w:right w:val="single" w:color="auto" w:sz="8" w:space="0"/>
            </w:tcBorders>
            <w:noWrap w:val="0"/>
            <w:tcMar>
              <w:left w:w="57" w:type="dxa"/>
              <w:right w:w="57" w:type="dxa"/>
            </w:tcMar>
            <w:vAlign w:val="center"/>
          </w:tcPr>
          <w:p w14:paraId="6D925F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bCs w:val="0"/>
                <w:color w:val="auto"/>
              </w:rPr>
            </w:pPr>
            <w:r>
              <w:rPr>
                <w:rFonts w:hint="eastAsia" w:ascii="宋体" w:hAnsi="宋体" w:eastAsia="宋体" w:cs="宋体"/>
                <w:b/>
                <w:bCs w:val="0"/>
                <w:color w:val="auto"/>
                <w:kern w:val="0"/>
                <w:sz w:val="20"/>
                <w:szCs w:val="20"/>
                <w:lang w:val="en-US" w:eastAsia="zh-CN" w:bidi="ar"/>
              </w:rPr>
              <w:t>1.申请人无正当理由逾期不补正、行政机关不再处理其政府信息公开申请</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9AE85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b/>
                <w:bCs w:val="0"/>
                <w:color w:val="auto"/>
                <w:lang w:val="en-US" w:eastAsia="zh-CN"/>
              </w:rPr>
            </w:pPr>
            <w:r>
              <w:rPr>
                <w:rFonts w:hint="eastAsia" w:ascii="黑体" w:hAnsi="宋体" w:eastAsia="黑体" w:cs="黑体"/>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A7E9C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b/>
                <w:bCs w:val="0"/>
                <w:color w:val="auto"/>
                <w:lang w:val="en-US" w:eastAsia="zh-CN"/>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78546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b/>
                <w:bCs w:val="0"/>
                <w:color w:val="auto"/>
                <w:lang w:val="en-US" w:eastAsia="zh-CN"/>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BB9FB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b/>
                <w:bCs w:val="0"/>
                <w:color w:val="auto"/>
                <w:lang w:val="en-US" w:eastAsia="zh-CN"/>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105AF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b/>
                <w:bCs w:val="0"/>
                <w:color w:val="auto"/>
                <w:lang w:val="en-US" w:eastAsia="zh-CN"/>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F443A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b/>
                <w:bCs w:val="0"/>
                <w:color w:val="auto"/>
                <w:lang w:val="en-US" w:eastAsia="zh-CN"/>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09B32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b/>
                <w:bCs w:val="0"/>
                <w:color w:val="auto"/>
                <w:lang w:val="en-US" w:eastAsia="zh-CN"/>
              </w:rPr>
            </w:pPr>
            <w:r>
              <w:rPr>
                <w:rFonts w:hint="eastAsia" w:ascii="黑体" w:hAnsi="宋体" w:eastAsia="黑体" w:cs="黑体"/>
                <w:b/>
                <w:bCs w:val="0"/>
                <w:color w:val="auto"/>
                <w:kern w:val="0"/>
                <w:sz w:val="20"/>
                <w:szCs w:val="20"/>
                <w:lang w:val="en-US" w:eastAsia="zh-CN" w:bidi="ar"/>
              </w:rPr>
              <w:t>0</w:t>
            </w:r>
          </w:p>
        </w:tc>
      </w:tr>
      <w:tr w14:paraId="6310B2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9BF98D0">
            <w:pPr>
              <w:rPr>
                <w:rFonts w:hint="eastAsia" w:ascii="宋体"/>
                <w:b/>
                <w:bCs w:val="0"/>
                <w:color w:val="auto"/>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14:paraId="52A856F0">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center"/>
          </w:tcPr>
          <w:p w14:paraId="676994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bCs w:val="0"/>
                <w:color w:val="auto"/>
              </w:rPr>
            </w:pPr>
            <w:r>
              <w:rPr>
                <w:rFonts w:hint="eastAsia" w:ascii="宋体" w:hAnsi="宋体" w:eastAsia="宋体" w:cs="宋体"/>
                <w:b/>
                <w:bCs w:val="0"/>
                <w:color w:val="auto"/>
                <w:kern w:val="0"/>
                <w:sz w:val="20"/>
                <w:szCs w:val="20"/>
                <w:lang w:val="en-US" w:eastAsia="zh-CN" w:bidi="ar"/>
              </w:rPr>
              <w:t>2.申请人逾期未按收费通知要求缴纳费用、行政机关不再处理其政府信息公开申请</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375C8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ABF5D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BC3A9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007C2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D49A1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868DE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F1F6C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r>
      <w:tr w14:paraId="08B67C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02C4A2B">
            <w:pPr>
              <w:rPr>
                <w:rFonts w:hint="eastAsia" w:ascii="宋体"/>
                <w:b/>
                <w:bCs w:val="0"/>
                <w:color w:val="auto"/>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14:paraId="57476061">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center"/>
          </w:tcPr>
          <w:p w14:paraId="61EB58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3.其他</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CDFEA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7C7C1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FD96A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37E98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9150E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758F7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0BBD1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r>
      <w:tr w14:paraId="715F68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1669CC42">
            <w:pPr>
              <w:rPr>
                <w:rFonts w:hint="eastAsia" w:ascii="宋体"/>
                <w:b/>
                <w:bCs w:val="0"/>
                <w:color w:val="auto"/>
                <w:sz w:val="24"/>
                <w:szCs w:val="24"/>
              </w:rPr>
            </w:pP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14:paraId="6E0315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（七）总计</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43817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9279C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6877B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7E7B6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35EA8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1F223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1C46E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r>
      <w:tr w14:paraId="09DBF2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65CCCE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四、结转下年度继续办理</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85E75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FDCD0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73069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97DA9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1E5E8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548F7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4F637B6">
            <w:pPr>
              <w:jc w:val="center"/>
              <w:rPr>
                <w:rFonts w:hint="default" w:ascii="宋体" w:eastAsia="宋体"/>
                <w:b/>
                <w:bCs w:val="0"/>
                <w:color w:val="auto"/>
                <w:sz w:val="24"/>
                <w:szCs w:val="24"/>
                <w:lang w:val="en-US" w:eastAsia="zh-CN"/>
              </w:rPr>
            </w:pPr>
            <w:r>
              <w:rPr>
                <w:rFonts w:hint="eastAsia" w:ascii="黑体" w:hAnsi="宋体" w:eastAsia="黑体" w:cs="黑体"/>
                <w:b/>
                <w:bCs w:val="0"/>
                <w:color w:val="auto"/>
                <w:kern w:val="0"/>
                <w:sz w:val="20"/>
                <w:szCs w:val="20"/>
                <w:lang w:val="en-US" w:eastAsia="zh-CN" w:bidi="ar"/>
              </w:rPr>
              <w:t>0</w:t>
            </w:r>
          </w:p>
        </w:tc>
      </w:tr>
    </w:tbl>
    <w:p w14:paraId="5ACE25B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方正黑体简体" w:hAnsi="方正黑体简体" w:eastAsia="方正黑体简体" w:cs="方正黑体简体"/>
          <w:b/>
          <w:bCs w:val="0"/>
          <w:i w:val="0"/>
          <w:iCs w:val="0"/>
          <w:caps w:val="0"/>
          <w:color w:val="auto"/>
          <w:spacing w:val="0"/>
          <w:sz w:val="32"/>
          <w:szCs w:val="32"/>
          <w:shd w:val="clear" w:color="auto" w:fill="FFFFFF"/>
          <w:lang w:val="en-US" w:eastAsia="zh-CN"/>
        </w:rPr>
      </w:pPr>
    </w:p>
    <w:p w14:paraId="00FE524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right="0" w:rightChars="0" w:firstLine="643" w:firstLineChars="200"/>
        <w:jc w:val="both"/>
        <w:textAlignment w:val="auto"/>
        <w:rPr>
          <w:rFonts w:hint="eastAsia" w:ascii="方正黑体简体" w:hAnsi="方正黑体简体" w:eastAsia="方正黑体简体" w:cs="方正黑体简体"/>
          <w:b/>
          <w:bCs w:val="0"/>
          <w:i w:val="0"/>
          <w:iCs w:val="0"/>
          <w:caps w:val="0"/>
          <w:color w:val="auto"/>
          <w:spacing w:val="0"/>
          <w:sz w:val="32"/>
          <w:szCs w:val="32"/>
          <w:shd w:val="clear" w:color="auto" w:fill="FFFFFF"/>
          <w:lang w:eastAsia="zh-CN"/>
        </w:rPr>
      </w:pPr>
      <w:r>
        <w:rPr>
          <w:rFonts w:hint="eastAsia" w:ascii="方正黑体简体" w:hAnsi="方正黑体简体" w:eastAsia="方正黑体简体" w:cs="方正黑体简体"/>
          <w:b/>
          <w:bCs w:val="0"/>
          <w:i w:val="0"/>
          <w:iCs w:val="0"/>
          <w:caps w:val="0"/>
          <w:color w:val="auto"/>
          <w:spacing w:val="0"/>
          <w:sz w:val="32"/>
          <w:szCs w:val="32"/>
          <w:shd w:val="clear" w:color="auto" w:fill="FFFFFF"/>
          <w:lang w:val="en-US" w:eastAsia="zh-CN"/>
        </w:rPr>
        <w:t>四、</w:t>
      </w:r>
      <w:r>
        <w:rPr>
          <w:rFonts w:hint="eastAsia" w:ascii="方正黑体简体" w:hAnsi="方正黑体简体" w:eastAsia="方正黑体简体" w:cs="方正黑体简体"/>
          <w:b/>
          <w:bCs w:val="0"/>
          <w:i w:val="0"/>
          <w:iCs w:val="0"/>
          <w:caps w:val="0"/>
          <w:color w:val="auto"/>
          <w:spacing w:val="0"/>
          <w:sz w:val="32"/>
          <w:szCs w:val="32"/>
          <w:shd w:val="clear" w:color="auto" w:fill="FFFFFF"/>
          <w:lang w:eastAsia="zh-CN"/>
        </w:rPr>
        <w:t>政府信息公开行政复议、行政诉讼情况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48D736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368E7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88B74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行政诉讼</w:t>
            </w:r>
          </w:p>
        </w:tc>
      </w:tr>
      <w:tr w14:paraId="7864BE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2E4E40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0AF02F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结果</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8611B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其他</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AC79B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尚未</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A18C8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A1047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31A15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复议后起诉</w:t>
            </w:r>
          </w:p>
        </w:tc>
      </w:tr>
      <w:tr w14:paraId="137D79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62625146">
            <w:pPr>
              <w:rPr>
                <w:rFonts w:hint="eastAsia" w:ascii="宋体"/>
                <w:b/>
                <w:bCs w:val="0"/>
                <w:color w:val="auto"/>
                <w:sz w:val="24"/>
                <w:szCs w:val="24"/>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E48DA3F">
            <w:pPr>
              <w:rPr>
                <w:rFonts w:hint="eastAsia" w:ascii="宋体"/>
                <w:b/>
                <w:bCs w:val="0"/>
                <w:color w:val="auto"/>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CED6525">
            <w:pPr>
              <w:rPr>
                <w:rFonts w:hint="eastAsia" w:ascii="宋体"/>
                <w:b/>
                <w:bCs w:val="0"/>
                <w:color w:val="auto"/>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455049E">
            <w:pPr>
              <w:rPr>
                <w:rFonts w:hint="eastAsia" w:ascii="宋体"/>
                <w:b/>
                <w:bCs w:val="0"/>
                <w:color w:val="auto"/>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052C992">
            <w:pPr>
              <w:rPr>
                <w:rFonts w:hint="eastAsia" w:ascii="宋体"/>
                <w:b/>
                <w:bCs w:val="0"/>
                <w:color w:val="auto"/>
                <w:sz w:val="24"/>
                <w:szCs w:val="24"/>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AD6B5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结果</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82B57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结果</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C3F4A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其他</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0707C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尚未</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C4036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66D94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结果</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CFEC1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结果</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7EFBA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其他</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78C1D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尚未</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08C7E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总计</w:t>
            </w:r>
          </w:p>
        </w:tc>
      </w:tr>
      <w:tr w14:paraId="457A4F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E095E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ECAD1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4D006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97966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164E1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35D82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BE893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B40C4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26850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07EF6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48224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E0C24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6103F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83E35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D5AD8B9">
            <w:pPr>
              <w:jc w:val="center"/>
              <w:rPr>
                <w:rFonts w:hint="eastAsia" w:ascii="宋体" w:eastAsia="宋体"/>
                <w:b/>
                <w:bCs w:val="0"/>
                <w:color w:val="auto"/>
                <w:sz w:val="24"/>
                <w:szCs w:val="24"/>
                <w:lang w:val="en-US" w:eastAsia="zh-CN"/>
              </w:rPr>
            </w:pPr>
            <w:r>
              <w:rPr>
                <w:rFonts w:hint="eastAsia" w:ascii="黑体" w:hAnsi="宋体" w:eastAsia="黑体" w:cs="黑体"/>
                <w:b/>
                <w:bCs w:val="0"/>
                <w:color w:val="auto"/>
                <w:kern w:val="0"/>
                <w:sz w:val="20"/>
                <w:szCs w:val="20"/>
                <w:lang w:val="en-US" w:eastAsia="zh-CN" w:bidi="ar"/>
              </w:rPr>
              <w:t>0</w:t>
            </w:r>
          </w:p>
        </w:tc>
      </w:tr>
    </w:tbl>
    <w:p w14:paraId="73FEEA9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right="0" w:rightChars="0" w:firstLine="643" w:firstLineChars="200"/>
        <w:jc w:val="both"/>
        <w:textAlignment w:val="auto"/>
        <w:rPr>
          <w:rFonts w:hint="eastAsia" w:ascii="方正黑体简体" w:hAnsi="方正黑体简体" w:eastAsia="方正黑体简体" w:cs="方正黑体简体"/>
          <w:b/>
          <w:bCs w:val="0"/>
          <w:i w:val="0"/>
          <w:iCs w:val="0"/>
          <w:caps w:val="0"/>
          <w:color w:val="auto"/>
          <w:spacing w:val="0"/>
          <w:sz w:val="32"/>
          <w:szCs w:val="32"/>
          <w:shd w:val="clear" w:color="auto" w:fill="FFFFFF"/>
          <w:lang w:eastAsia="zh-CN"/>
        </w:rPr>
      </w:pPr>
      <w:r>
        <w:rPr>
          <w:rFonts w:hint="eastAsia" w:ascii="方正黑体简体" w:hAnsi="方正黑体简体" w:eastAsia="方正黑体简体" w:cs="方正黑体简体"/>
          <w:b/>
          <w:bCs w:val="0"/>
          <w:i w:val="0"/>
          <w:iCs w:val="0"/>
          <w:caps w:val="0"/>
          <w:color w:val="auto"/>
          <w:spacing w:val="0"/>
          <w:sz w:val="32"/>
          <w:szCs w:val="32"/>
          <w:shd w:val="clear" w:color="auto" w:fill="FFFFFF"/>
          <w:lang w:val="en-US" w:eastAsia="zh-CN"/>
        </w:rPr>
        <w:t>五、</w:t>
      </w:r>
      <w:r>
        <w:rPr>
          <w:rFonts w:hint="eastAsia" w:ascii="方正黑体简体" w:hAnsi="方正黑体简体" w:eastAsia="方正黑体简体" w:cs="方正黑体简体"/>
          <w:b/>
          <w:bCs w:val="0"/>
          <w:i w:val="0"/>
          <w:iCs w:val="0"/>
          <w:caps w:val="0"/>
          <w:color w:val="auto"/>
          <w:spacing w:val="0"/>
          <w:sz w:val="32"/>
          <w:szCs w:val="32"/>
          <w:shd w:val="clear" w:color="auto" w:fill="FFFFFF"/>
          <w:lang w:eastAsia="zh-CN"/>
        </w:rPr>
        <w:t>存在的主要问题及改进情况</w:t>
      </w:r>
    </w:p>
    <w:p w14:paraId="2F55EA7C">
      <w:pPr>
        <w:numPr>
          <w:ilvl w:val="0"/>
          <w:numId w:val="0"/>
        </w:numPr>
        <w:ind w:firstLine="643" w:firstLineChars="200"/>
        <w:rPr>
          <w:rFonts w:hint="eastAsia" w:ascii="Times New Roman" w:hAnsi="Times New Roman" w:eastAsia="方正仿宋简体" w:cs="Times New Roman"/>
          <w:b/>
          <w:bCs w:val="0"/>
          <w:color w:val="auto"/>
          <w:kern w:val="2"/>
          <w:sz w:val="32"/>
          <w:szCs w:val="32"/>
          <w:lang w:val="en-US" w:eastAsia="zh-CN" w:bidi="ar-SA"/>
        </w:rPr>
      </w:pPr>
      <w:r>
        <w:rPr>
          <w:rFonts w:hint="eastAsia" w:ascii="Times New Roman" w:hAnsi="Times New Roman" w:eastAsia="方正仿宋简体" w:cs="Times New Roman"/>
          <w:b/>
          <w:bCs w:val="0"/>
          <w:color w:val="auto"/>
          <w:kern w:val="2"/>
          <w:sz w:val="32"/>
          <w:szCs w:val="32"/>
          <w:lang w:val="en-US" w:eastAsia="zh-CN" w:bidi="ar-SA"/>
        </w:rPr>
        <w:t>2025年，本部门政务公开工作取得积极进展，但仍存在部分有待提升之处：一是信息公开渠道的多样性仍有拓展空间；二是政务公开人员配置较为薄弱。</w:t>
      </w:r>
    </w:p>
    <w:p w14:paraId="7ABD59EA">
      <w:pPr>
        <w:numPr>
          <w:ilvl w:val="0"/>
          <w:numId w:val="0"/>
        </w:numPr>
        <w:ind w:firstLine="643" w:firstLineChars="200"/>
        <w:rPr>
          <w:rFonts w:hint="default" w:ascii="Times New Roman" w:hAnsi="Times New Roman" w:eastAsia="方正仿宋简体" w:cs="Times New Roman"/>
          <w:b/>
          <w:bCs w:val="0"/>
          <w:color w:val="auto"/>
          <w:kern w:val="2"/>
          <w:sz w:val="32"/>
          <w:szCs w:val="32"/>
          <w:lang w:val="en-US" w:eastAsia="zh-CN" w:bidi="ar-SA"/>
        </w:rPr>
      </w:pPr>
      <w:r>
        <w:rPr>
          <w:rFonts w:hint="eastAsia" w:ascii="Times New Roman" w:hAnsi="Times New Roman" w:eastAsia="方正仿宋简体" w:cs="Times New Roman"/>
          <w:b/>
          <w:bCs w:val="0"/>
          <w:color w:val="auto"/>
          <w:kern w:val="2"/>
          <w:sz w:val="32"/>
          <w:szCs w:val="32"/>
          <w:lang w:val="en-US" w:eastAsia="zh-CN" w:bidi="ar-SA"/>
        </w:rPr>
        <w:t>改进措施：一是积极研究探索信息公开的新举措、新方法，不断丰富呈现形式，创新服务手段，提升公开效果；二是强化人员队伍建设，通过组织专项业务培训，切实做到信息公开岗位职责明确、人员配置到位，进一步增强工作人员的责任意识与专业能力，为信息公开工作奠定更加坚实的基础。</w:t>
      </w:r>
    </w:p>
    <w:p w14:paraId="2AC11EA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right="0" w:rightChars="0" w:firstLine="643" w:firstLineChars="200"/>
        <w:jc w:val="both"/>
        <w:textAlignment w:val="auto"/>
        <w:rPr>
          <w:rFonts w:hint="eastAsia" w:ascii="方正黑体简体" w:hAnsi="方正黑体简体" w:eastAsia="方正黑体简体" w:cs="方正黑体简体"/>
          <w:b/>
          <w:bCs w:val="0"/>
          <w:i w:val="0"/>
          <w:iCs w:val="0"/>
          <w:caps w:val="0"/>
          <w:color w:val="auto"/>
          <w:spacing w:val="0"/>
          <w:sz w:val="32"/>
          <w:szCs w:val="32"/>
          <w:shd w:val="clear" w:color="auto" w:fill="FFFFFF"/>
          <w:lang w:val="en-US" w:eastAsia="zh-CN"/>
        </w:rPr>
      </w:pPr>
      <w:r>
        <w:rPr>
          <w:rFonts w:hint="eastAsia" w:ascii="方正黑体简体" w:hAnsi="方正黑体简体" w:eastAsia="方正黑体简体" w:cs="方正黑体简体"/>
          <w:b/>
          <w:bCs w:val="0"/>
          <w:i w:val="0"/>
          <w:iCs w:val="0"/>
          <w:caps w:val="0"/>
          <w:color w:val="auto"/>
          <w:spacing w:val="0"/>
          <w:sz w:val="32"/>
          <w:szCs w:val="32"/>
          <w:shd w:val="clear" w:color="auto" w:fill="FFFFFF"/>
          <w:lang w:val="en-US" w:eastAsia="zh-CN"/>
        </w:rPr>
        <w:t>六、其他需要报告的事项</w:t>
      </w:r>
    </w:p>
    <w:p w14:paraId="20F04537">
      <w:pPr>
        <w:numPr>
          <w:ilvl w:val="0"/>
          <w:numId w:val="0"/>
        </w:numPr>
        <w:ind w:firstLine="643" w:firstLineChars="200"/>
        <w:rPr>
          <w:rFonts w:hint="eastAsia" w:ascii="Times New Roman" w:hAnsi="Times New Roman" w:eastAsia="方正仿宋简体" w:cs="Times New Roman"/>
          <w:b/>
          <w:bCs w:val="0"/>
          <w:color w:val="auto"/>
          <w:kern w:val="2"/>
          <w:sz w:val="32"/>
          <w:szCs w:val="32"/>
          <w:lang w:val="en-US" w:eastAsia="zh-CN" w:bidi="ar-SA"/>
        </w:rPr>
      </w:pPr>
      <w:r>
        <w:rPr>
          <w:rFonts w:hint="eastAsia" w:ascii="Times New Roman" w:hAnsi="Times New Roman" w:eastAsia="方正仿宋简体" w:cs="Times New Roman"/>
          <w:b/>
          <w:bCs w:val="0"/>
          <w:color w:val="auto"/>
          <w:kern w:val="2"/>
          <w:sz w:val="32"/>
          <w:szCs w:val="32"/>
          <w:lang w:val="en-US" w:eastAsia="zh-CN" w:bidi="ar-SA"/>
        </w:rPr>
        <w:t>（一）依据《政府信息公开信息处理费管理办法》收取信息处理费的情况：</w:t>
      </w:r>
    </w:p>
    <w:p w14:paraId="166A3147">
      <w:pPr>
        <w:numPr>
          <w:ilvl w:val="0"/>
          <w:numId w:val="0"/>
        </w:numPr>
        <w:ind w:firstLine="643" w:firstLineChars="200"/>
        <w:rPr>
          <w:rFonts w:hint="eastAsia" w:ascii="Times New Roman" w:hAnsi="Times New Roman" w:eastAsia="方正仿宋简体" w:cs="Times New Roman"/>
          <w:b/>
          <w:bCs w:val="0"/>
          <w:color w:val="auto"/>
          <w:kern w:val="2"/>
          <w:sz w:val="32"/>
          <w:szCs w:val="32"/>
          <w:lang w:val="en-US" w:eastAsia="zh-CN" w:bidi="ar-SA"/>
        </w:rPr>
      </w:pPr>
      <w:r>
        <w:rPr>
          <w:rFonts w:hint="eastAsia" w:ascii="Times New Roman" w:hAnsi="Times New Roman" w:eastAsia="方正仿宋简体" w:cs="Times New Roman"/>
          <w:b/>
          <w:bCs w:val="0"/>
          <w:color w:val="auto"/>
          <w:kern w:val="2"/>
          <w:sz w:val="32"/>
          <w:szCs w:val="32"/>
          <w:lang w:val="en-US" w:eastAsia="zh-CN" w:bidi="ar-SA"/>
        </w:rPr>
        <w:t>2025年，我部不存在收取信息管理费的相关情况。</w:t>
      </w:r>
    </w:p>
    <w:p w14:paraId="63E08AF6">
      <w:pPr>
        <w:numPr>
          <w:ilvl w:val="0"/>
          <w:numId w:val="0"/>
        </w:numPr>
        <w:ind w:firstLine="643" w:firstLineChars="200"/>
        <w:rPr>
          <w:rFonts w:hint="eastAsia" w:ascii="Times New Roman" w:hAnsi="Times New Roman" w:eastAsia="方正仿宋简体" w:cs="Times New Roman"/>
          <w:b/>
          <w:bCs w:val="0"/>
          <w:color w:val="auto"/>
          <w:kern w:val="2"/>
          <w:sz w:val="32"/>
          <w:szCs w:val="32"/>
          <w:lang w:val="en-US" w:eastAsia="zh-CN" w:bidi="ar-SA"/>
        </w:rPr>
      </w:pPr>
      <w:r>
        <w:rPr>
          <w:rFonts w:hint="eastAsia" w:ascii="Times New Roman" w:hAnsi="Times New Roman" w:eastAsia="方正仿宋简体" w:cs="Times New Roman"/>
          <w:b/>
          <w:bCs w:val="0"/>
          <w:color w:val="auto"/>
          <w:kern w:val="2"/>
          <w:sz w:val="32"/>
          <w:szCs w:val="32"/>
          <w:lang w:val="en-US" w:eastAsia="zh-CN" w:bidi="ar-SA"/>
        </w:rPr>
        <w:t>（二）本行政机关落实上级年度政务公开工作要点情况：</w:t>
      </w:r>
    </w:p>
    <w:p w14:paraId="01ED9E76">
      <w:pPr>
        <w:numPr>
          <w:ilvl w:val="0"/>
          <w:numId w:val="0"/>
        </w:numPr>
        <w:ind w:firstLine="643" w:firstLineChars="200"/>
        <w:rPr>
          <w:rFonts w:hint="eastAsia" w:ascii="Times New Roman" w:hAnsi="Times New Roman" w:eastAsia="方正仿宋简体" w:cs="Times New Roman"/>
          <w:b/>
          <w:bCs w:val="0"/>
          <w:color w:val="auto"/>
          <w:kern w:val="2"/>
          <w:sz w:val="32"/>
          <w:szCs w:val="32"/>
          <w:lang w:val="en-US" w:eastAsia="zh-CN" w:bidi="ar-SA"/>
        </w:rPr>
      </w:pPr>
      <w:r>
        <w:rPr>
          <w:rFonts w:hint="eastAsia" w:ascii="Times New Roman" w:hAnsi="Times New Roman" w:eastAsia="方正仿宋简体" w:cs="Times New Roman"/>
          <w:b/>
          <w:bCs w:val="0"/>
          <w:color w:val="auto"/>
          <w:kern w:val="2"/>
          <w:sz w:val="32"/>
          <w:szCs w:val="32"/>
          <w:lang w:val="en-US" w:eastAsia="zh-CN" w:bidi="ar-SA"/>
        </w:rPr>
        <w:t>2025年，我部认真落实上级部门年度政务公开工作要点。由综合科牵头，各科室共同参与，</w:t>
      </w:r>
      <w:bookmarkStart w:id="0" w:name="_GoBack"/>
      <w:bookmarkEnd w:id="0"/>
      <w:r>
        <w:rPr>
          <w:rFonts w:hint="eastAsia" w:ascii="Times New Roman" w:hAnsi="Times New Roman" w:eastAsia="方正仿宋简体" w:cs="Times New Roman"/>
          <w:b/>
          <w:bCs w:val="0"/>
          <w:color w:val="auto"/>
          <w:kern w:val="2"/>
          <w:sz w:val="32"/>
          <w:szCs w:val="32"/>
          <w:lang w:val="en-US" w:eastAsia="zh-CN" w:bidi="ar-SA"/>
        </w:rPr>
        <w:t>将医保、就业、社保等领域的相关工作及时通过政务门户网站和政务新媒体平台公开发布。</w:t>
      </w:r>
    </w:p>
    <w:p w14:paraId="24F981A5">
      <w:pPr>
        <w:numPr>
          <w:ilvl w:val="0"/>
          <w:numId w:val="0"/>
        </w:numPr>
        <w:ind w:firstLine="643" w:firstLineChars="200"/>
        <w:rPr>
          <w:rFonts w:hint="eastAsia" w:ascii="Times New Roman" w:hAnsi="Times New Roman" w:eastAsia="方正仿宋简体" w:cs="Times New Roman"/>
          <w:b/>
          <w:bCs w:val="0"/>
          <w:color w:val="auto"/>
          <w:kern w:val="2"/>
          <w:sz w:val="32"/>
          <w:szCs w:val="32"/>
          <w:lang w:val="en-US" w:eastAsia="zh-CN" w:bidi="ar-SA"/>
        </w:rPr>
      </w:pPr>
      <w:r>
        <w:rPr>
          <w:rFonts w:hint="eastAsia" w:ascii="Times New Roman" w:hAnsi="Times New Roman" w:eastAsia="方正仿宋简体" w:cs="Times New Roman"/>
          <w:b/>
          <w:bCs w:val="0"/>
          <w:color w:val="auto"/>
          <w:kern w:val="2"/>
          <w:sz w:val="32"/>
          <w:szCs w:val="32"/>
          <w:lang w:val="en-US" w:eastAsia="zh-CN" w:bidi="ar-SA"/>
        </w:rPr>
        <w:t>（三）本行政机关人大代表建议和政协提案办理结果公开情况：</w:t>
      </w:r>
    </w:p>
    <w:p w14:paraId="459AEA2A">
      <w:pPr>
        <w:numPr>
          <w:ilvl w:val="0"/>
          <w:numId w:val="0"/>
        </w:numPr>
        <w:ind w:firstLine="643" w:firstLineChars="200"/>
        <w:rPr>
          <w:rFonts w:hint="eastAsia" w:ascii="Times New Roman" w:hAnsi="Times New Roman" w:eastAsia="方正仿宋简体" w:cs="Times New Roman"/>
          <w:b/>
          <w:bCs w:val="0"/>
          <w:color w:val="auto"/>
          <w:kern w:val="2"/>
          <w:sz w:val="32"/>
          <w:szCs w:val="32"/>
          <w:lang w:val="en-US" w:eastAsia="zh-CN" w:bidi="ar-SA"/>
        </w:rPr>
      </w:pPr>
      <w:r>
        <w:rPr>
          <w:rFonts w:hint="eastAsia" w:ascii="Times New Roman" w:hAnsi="Times New Roman" w:eastAsia="方正仿宋简体" w:cs="Times New Roman"/>
          <w:b/>
          <w:bCs w:val="0"/>
          <w:color w:val="auto"/>
          <w:kern w:val="2"/>
          <w:sz w:val="32"/>
          <w:szCs w:val="32"/>
          <w:lang w:val="en-US" w:eastAsia="zh-CN" w:bidi="ar-SA"/>
        </w:rPr>
        <w:t>2025年，我部未收到人大代表建议和政协提案。</w:t>
      </w:r>
    </w:p>
    <w:p w14:paraId="214E695C">
      <w:pPr>
        <w:numPr>
          <w:ilvl w:val="0"/>
          <w:numId w:val="0"/>
        </w:numPr>
        <w:ind w:firstLine="643" w:firstLineChars="200"/>
        <w:rPr>
          <w:rFonts w:hint="eastAsia" w:ascii="Times New Roman" w:hAnsi="Times New Roman" w:eastAsia="方正仿宋简体" w:cs="Times New Roman"/>
          <w:b/>
          <w:bCs w:val="0"/>
          <w:color w:val="auto"/>
          <w:kern w:val="2"/>
          <w:sz w:val="32"/>
          <w:szCs w:val="32"/>
          <w:lang w:val="en-US" w:eastAsia="zh-CN" w:bidi="ar-SA"/>
        </w:rPr>
      </w:pPr>
      <w:r>
        <w:rPr>
          <w:rFonts w:hint="eastAsia" w:ascii="Times New Roman" w:hAnsi="Times New Roman" w:eastAsia="方正仿宋简体" w:cs="Times New Roman"/>
          <w:b/>
          <w:bCs w:val="0"/>
          <w:color w:val="auto"/>
          <w:kern w:val="2"/>
          <w:sz w:val="32"/>
          <w:szCs w:val="32"/>
          <w:lang w:val="en-US" w:eastAsia="zh-CN" w:bidi="ar-SA"/>
        </w:rPr>
        <w:t>（四）本行政机关年度政务公开工作创新情况：</w:t>
      </w:r>
    </w:p>
    <w:p w14:paraId="2D42FB65">
      <w:pPr>
        <w:numPr>
          <w:ilvl w:val="0"/>
          <w:numId w:val="0"/>
        </w:numPr>
        <w:ind w:firstLine="643" w:firstLineChars="200"/>
        <w:rPr>
          <w:rFonts w:hint="eastAsia" w:ascii="Times New Roman" w:hAnsi="Times New Roman" w:eastAsia="方正仿宋简体" w:cs="Times New Roman"/>
          <w:b/>
          <w:bCs w:val="0"/>
          <w:color w:val="auto"/>
          <w:kern w:val="2"/>
          <w:sz w:val="32"/>
          <w:szCs w:val="32"/>
          <w:lang w:val="en-US" w:eastAsia="zh-CN" w:bidi="ar-SA"/>
        </w:rPr>
      </w:pPr>
      <w:r>
        <w:rPr>
          <w:rFonts w:hint="eastAsia" w:ascii="Times New Roman" w:hAnsi="Times New Roman" w:eastAsia="方正仿宋简体" w:cs="Times New Roman"/>
          <w:b/>
          <w:bCs w:val="0"/>
          <w:color w:val="auto"/>
          <w:kern w:val="2"/>
          <w:sz w:val="32"/>
          <w:szCs w:val="32"/>
          <w:lang w:val="en-US" w:eastAsia="zh-CN" w:bidi="ar-SA"/>
        </w:rPr>
        <w:t>无。</w:t>
      </w:r>
    </w:p>
    <w:p w14:paraId="4F1900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9674E"/>
    <w:rsid w:val="049A7BD3"/>
    <w:rsid w:val="0530556B"/>
    <w:rsid w:val="06710E08"/>
    <w:rsid w:val="104430E9"/>
    <w:rsid w:val="113A4C18"/>
    <w:rsid w:val="1ACE44CA"/>
    <w:rsid w:val="1B706C39"/>
    <w:rsid w:val="21090D39"/>
    <w:rsid w:val="25E90563"/>
    <w:rsid w:val="2D393B7E"/>
    <w:rsid w:val="305D673B"/>
    <w:rsid w:val="35F6C04C"/>
    <w:rsid w:val="41F320F5"/>
    <w:rsid w:val="433B4DD2"/>
    <w:rsid w:val="443D58AA"/>
    <w:rsid w:val="469F621F"/>
    <w:rsid w:val="47290367"/>
    <w:rsid w:val="48164D90"/>
    <w:rsid w:val="4CA706AC"/>
    <w:rsid w:val="510A2FB8"/>
    <w:rsid w:val="567F1D52"/>
    <w:rsid w:val="58121F42"/>
    <w:rsid w:val="5B1C6599"/>
    <w:rsid w:val="5C084598"/>
    <w:rsid w:val="5F6465CB"/>
    <w:rsid w:val="62D358FF"/>
    <w:rsid w:val="65484822"/>
    <w:rsid w:val="6F0B4673"/>
    <w:rsid w:val="6FBC1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3">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character" w:styleId="6">
    <w:name w:val="Strong"/>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026&#24180;\2025&#24180;&#24180;&#25253;\&#26032;&#24314;%20XLSX%20&#24037;&#20316;&#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026&#24180;\2025&#24180;&#24180;&#25253;\&#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稳岗就业</a:t>
            </a:r>
          </a:p>
        </c:rich>
      </c:tx>
      <c:layout/>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工作表.xlsx]Sheet1'!$B$2:$B$5</c:f>
              <c:strCache>
                <c:ptCount val="4"/>
                <c:pt idx="0">
                  <c:v>就业政策</c:v>
                </c:pt>
                <c:pt idx="1">
                  <c:v>公示公告</c:v>
                </c:pt>
                <c:pt idx="2">
                  <c:v>补贴信息</c:v>
                </c:pt>
                <c:pt idx="3">
                  <c:v>就业服务</c:v>
                </c:pt>
              </c:strCache>
            </c:strRef>
          </c:cat>
          <c:val>
            <c:numRef>
              <c:f>'[新建 XLSX 工作表.xlsx]Sheet1'!$C$2:$C$5</c:f>
              <c:numCache>
                <c:formatCode>General</c:formatCode>
                <c:ptCount val="4"/>
                <c:pt idx="0">
                  <c:v>2</c:v>
                </c:pt>
                <c:pt idx="1">
                  <c:v>10</c:v>
                </c:pt>
                <c:pt idx="2">
                  <c:v>30</c:v>
                </c:pt>
                <c:pt idx="3">
                  <c:v>7</c:v>
                </c:pt>
              </c:numCache>
            </c:numRef>
          </c:val>
        </c:ser>
        <c:dLbls>
          <c:showLegendKey val="0"/>
          <c:showVal val="1"/>
          <c:showCatName val="0"/>
          <c:showSerName val="0"/>
          <c:showPercent val="0"/>
          <c:showBubbleSize val="0"/>
        </c:dLbls>
        <c:gapWidth val="140"/>
        <c:overlap val="-40"/>
        <c:axId val="167897005"/>
        <c:axId val="791100525"/>
      </c:barChart>
      <c:catAx>
        <c:axId val="167897005"/>
        <c:scaling>
          <c:orientation val="minMax"/>
        </c:scaling>
        <c:delete val="0"/>
        <c:axPos val="l"/>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1100525"/>
        <c:crosses val="autoZero"/>
        <c:auto val="1"/>
        <c:lblAlgn val="ctr"/>
        <c:lblOffset val="100"/>
        <c:noMultiLvlLbl val="0"/>
      </c:catAx>
      <c:valAx>
        <c:axId val="791100525"/>
        <c:scaling>
          <c:orientation val="minMax"/>
        </c:scaling>
        <c:delete val="0"/>
        <c:axPos val="b"/>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7897005"/>
        <c:crosses val="autoZero"/>
        <c:crossBetween val="between"/>
      </c:valAx>
      <c:spPr>
        <a:noFill/>
        <a:ln>
          <a:noFill/>
        </a:ln>
        <a:effectLst/>
      </c:spPr>
    </c:plotArea>
    <c:plotVisOnly val="1"/>
    <c:dispBlanksAs val="gap"/>
    <c:showDLblsOverMax val="0"/>
    <c:extLst>
      <c:ext uri="{0b15fc19-7d7d-44ad-8c2d-2c3a37ce22c3}">
        <chartProps xmlns="https://web.wps.cn/et/2018/main" chartId="{fdb2ba01-1868-4c46-9ea3-b6b4f8c3e937}"/>
      </c:ext>
    </c:extLst>
  </c:chart>
  <c:spPr>
    <a:solidFill>
      <a:schemeClr val="tx2">
        <a:lumMod val="20000"/>
        <a:lumOff val="80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社会保险</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工作表.xlsx]Sheet1'!$B$7:$B$9</c:f>
              <c:strCache>
                <c:ptCount val="3"/>
                <c:pt idx="0">
                  <c:v>保险政策</c:v>
                </c:pt>
                <c:pt idx="1">
                  <c:v>信息披漏</c:v>
                </c:pt>
                <c:pt idx="2">
                  <c:v>医疗保险</c:v>
                </c:pt>
              </c:strCache>
            </c:strRef>
          </c:cat>
          <c:val>
            <c:numRef>
              <c:f>'[新建 XLSX 工作表.xlsx]Sheet1'!$C$7:$C$9</c:f>
              <c:numCache>
                <c:formatCode>General</c:formatCode>
                <c:ptCount val="3"/>
                <c:pt idx="0">
                  <c:v>6</c:v>
                </c:pt>
                <c:pt idx="1">
                  <c:v>11</c:v>
                </c:pt>
                <c:pt idx="2">
                  <c:v>14</c:v>
                </c:pt>
              </c:numCache>
            </c:numRef>
          </c:val>
        </c:ser>
        <c:dLbls>
          <c:showLegendKey val="0"/>
          <c:showVal val="1"/>
          <c:showCatName val="0"/>
          <c:showSerName val="0"/>
          <c:showPercent val="0"/>
          <c:showBubbleSize val="0"/>
        </c:dLbls>
        <c:gapWidth val="246"/>
        <c:overlap val="-28"/>
        <c:axId val="160946012"/>
        <c:axId val="724491585"/>
      </c:barChart>
      <c:catAx>
        <c:axId val="16094601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4491585"/>
        <c:crosses val="autoZero"/>
        <c:auto val="1"/>
        <c:lblAlgn val="ctr"/>
        <c:lblOffset val="100"/>
        <c:noMultiLvlLbl val="0"/>
      </c:catAx>
      <c:valAx>
        <c:axId val="72449158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0946012"/>
        <c:crosses val="autoZero"/>
        <c:crossBetween val="between"/>
      </c:valAx>
      <c:spPr>
        <a:noFill/>
        <a:ln>
          <a:noFill/>
        </a:ln>
        <a:effectLst/>
      </c:spPr>
    </c:plotArea>
    <c:plotVisOnly val="1"/>
    <c:dispBlanksAs val="gap"/>
    <c:showDLblsOverMax val="0"/>
    <c:extLst>
      <c:ext uri="{0b15fc19-7d7d-44ad-8c2d-2c3a37ce22c3}">
        <chartProps xmlns="https://web.wps.cn/et/2018/main" chartId="{300783ae-424f-4a50-9443-f686fbc90b5d}"/>
      </c:ext>
    </c:extLst>
  </c:chart>
  <c:spPr>
    <a:solidFill>
      <a:schemeClr val="tx2">
        <a:lumMod val="20000"/>
        <a:lumOff val="80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11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1949</Words>
  <Characters>2032</Characters>
  <Lines>0</Lines>
  <Paragraphs>0</Paragraphs>
  <TotalTime>37</TotalTime>
  <ScaleCrop>false</ScaleCrop>
  <LinksUpToDate>false</LinksUpToDate>
  <CharactersWithSpaces>2034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2026-01-16T09:05:00Z</dcterms:created>
  <dc:creator>DELL</dc:creator>
  <cp:lastModifiedBy>from then on</cp:lastModifiedBy>
  <dcterms:modified xsi:type="dcterms:W3CDTF">2026-01-26T02:26:37Z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eyJoZGlkIjoiZGUzZjZkNzNhZDUxOGE0ODU1NmU5MDEwNGVjMzE3MzkiLCJ1c2VySWQiOiI2MTQyNTE1MDEifQ==</vt:lpwstr>
  </property>
  <property fmtid="{D5CDD505-2E9C-101B-9397-08002B2CF9AE}" pid="4" name="ICV">
    <vt:lpwstr>DA44373FDFCB4009B6E48579AE05028F_12</vt:lpwstr>
  </property>
</Properties>
</file>