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</w:rPr>
        <w:t>济宁太白湖新区市场监督管理局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 w:val="0"/>
          <w:bCs/>
        </w:rPr>
        <w:t>年政府信息公开工作年度报告</w:t>
      </w:r>
    </w:p>
    <w:p>
      <w:pPr>
        <w:pStyle w:val="3"/>
        <w:keepNext w:val="0"/>
        <w:keepLines w:val="0"/>
        <w:widowControl/>
        <w:suppressLineNumbers w:val="0"/>
        <w:spacing w:line="585" w:lineRule="atLeast"/>
        <w:ind w:left="0" w:firstLine="645"/>
        <w:rPr>
          <w:rStyle w:val="6"/>
          <w:rFonts w:ascii="方正仿宋简体" w:hAnsi="方正仿宋简体" w:eastAsia="方正仿宋简体" w:cs="方正仿宋简体"/>
          <w:sz w:val="31"/>
          <w:szCs w:val="31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left="0" w:firstLine="645"/>
        <w:textAlignment w:val="auto"/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Style w:val="6"/>
          <w:rFonts w:ascii="方正仿宋简体" w:hAnsi="方正仿宋简体" w:eastAsia="方正仿宋简体" w:cs="方正仿宋简体"/>
          <w:b w:val="0"/>
          <w:bCs/>
          <w:sz w:val="32"/>
          <w:szCs w:val="32"/>
        </w:rPr>
        <w:t>本报告由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济宁太白湖新区市场监督管理局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left="0" w:firstLine="645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left="0" w:firstLine="645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本报告所列数据的统计期限自2021年1月1日起至2021年12月31日止。本报告电子版可在“济宁太白湖新区管理委员会”门户网站（http://bhdjq.jining.gov.cn/）查阅或下载。如对本报告有疑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问，请与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lang w:val="en-US" w:eastAsia="zh-CN"/>
        </w:rPr>
        <w:t>济宁太白湖新区市场监督管理局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联系（地址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：济宁太白湖新区奥体路新城发展大厦A座，联系电话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: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0537-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3297079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645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ascii="方正黑体简体" w:hAnsi="方正黑体简体" w:eastAsia="方正黑体简体" w:cs="方正黑体简体"/>
          <w:b w:val="0"/>
          <w:bCs/>
          <w:sz w:val="32"/>
          <w:szCs w:val="32"/>
        </w:rPr>
        <w:t>一、总体情况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645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ascii="方正楷体简体" w:hAnsi="方正楷体简体" w:eastAsia="方正楷体简体" w:cs="方正楷体简体"/>
          <w:b w:val="0"/>
          <w:bCs/>
          <w:sz w:val="32"/>
          <w:szCs w:val="32"/>
        </w:rPr>
        <w:t>（一）主动公开情况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20"/>
        <w:jc w:val="both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202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  <w:lang w:val="en-US" w:eastAsia="zh-CN"/>
        </w:rPr>
        <w:t>1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年，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  <w:lang w:eastAsia="zh-CN"/>
        </w:rPr>
        <w:t>济宁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太白湖新区市场监督管理局严格按照“应公开，尽公开”原则，坚持主动公开和依申请公开相结合，及时、准确、规范地向社会发布政府信息，加强政策解读和回应关切，深化重点领域信息公开，不断完善政府信息公开的审核、发布、培训等工作机制，严格按照对外公开的流程和期限要求，确保公开的信息科学准确、真实有效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20"/>
        <w:jc w:val="both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1.基础信息公开情况。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20"/>
        <w:jc w:val="both"/>
        <w:textAlignment w:val="auto"/>
        <w:rPr>
          <w:b w:val="0"/>
          <w:bCs/>
          <w:color w:val="FF0000"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全年共发布和更新信息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236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条，其中财政信息4条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权责清单1条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“抽检信息公示”23条，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shd w:val="clear" w:fill="FFFFFF"/>
        </w:rPr>
        <w:t>“行政处罚公示”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shd w:val="clear" w:fill="FFFFFF"/>
          <w:lang w:val="en-US" w:eastAsia="zh-CN"/>
        </w:rPr>
        <w:t>85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“双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shd w:val="clear" w:fill="FFFFFF"/>
        </w:rPr>
        <w:t>随机一公开”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shd w:val="clear" w:fill="FFFFFF"/>
          <w:lang w:val="en-US" w:eastAsia="zh-CN"/>
        </w:rPr>
        <w:t>123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条。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shd w:val="clear" w:fill="FFFFFF"/>
        </w:rPr>
        <w:t>政务服务热线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shd w:val="clear" w:fill="FFFFFF"/>
          <w:lang w:val="en-US" w:eastAsia="zh-CN"/>
        </w:rPr>
        <w:t>2525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  <w:shd w:val="clear" w:fill="FFFFFF"/>
        </w:rPr>
        <w:t>条，办结率100%。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20"/>
        <w:jc w:val="both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2.政府信息公开方式。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20"/>
        <w:jc w:val="both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通过政府网站、新闻发布会以及微信公众号等便于公众知晓的方式公开。一是强化重点民主领域信息公开。围绕保障人民群众身体健康和切实关心的舌尖上安全问题、加大食品药品安全、产品质量、行政执法等方面的信息公开。二是在微信公众号“食安太白湖” 推送信息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  <w:lang w:val="en-US" w:eastAsia="zh-CN"/>
        </w:rPr>
        <w:t>578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条，主要涉及我局食品药品、特种设备安全监管、市场秩序维护等方面的工作动态，科普食品安全和保健品相关知识以及消费提示等内容。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645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b w:val="0"/>
          <w:bCs/>
          <w:sz w:val="32"/>
          <w:szCs w:val="32"/>
        </w:rPr>
        <w:t>（二）依申请公开情况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20"/>
        <w:jc w:val="both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202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  <w:lang w:val="en-US" w:eastAsia="zh-CN"/>
        </w:rPr>
        <w:t>1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年，我局未收到政府信息公开申请。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645"/>
        <w:textAlignment w:val="auto"/>
        <w:rPr>
          <w:rStyle w:val="6"/>
          <w:rFonts w:hint="eastAsia" w:ascii="方正楷体简体" w:hAnsi="方正楷体简体" w:eastAsia="方正楷体简体" w:cs="方正楷体简体"/>
          <w:b w:val="0"/>
          <w:bCs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b w:val="0"/>
          <w:bCs/>
          <w:sz w:val="32"/>
          <w:szCs w:val="32"/>
        </w:rPr>
        <w:t>（三）政府信息管理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645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我局高度重视政务公开工作，明确分管领导，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  <w:lang w:eastAsia="zh-CN"/>
        </w:rPr>
        <w:t>由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综合科牵头负责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  <w:lang w:eastAsia="zh-CN"/>
        </w:rPr>
        <w:t>并</w:t>
      </w: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落实专人负责，其他科室按职责分工做好配合工作。严格遵守政务公开信息审核、发布和责任追究以及三审制等制度。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20"/>
        <w:jc w:val="both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 </w:t>
      </w:r>
      <w:r>
        <w:rPr>
          <w:rStyle w:val="6"/>
          <w:rFonts w:hint="eastAsia" w:ascii="方正楷体简体" w:hAnsi="方正楷体简体" w:eastAsia="方正楷体简体" w:cs="方正楷体简体"/>
          <w:b w:val="0"/>
          <w:bCs/>
          <w:sz w:val="32"/>
          <w:szCs w:val="32"/>
        </w:rPr>
        <w:t>（四）监督保障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20"/>
        <w:jc w:val="both"/>
        <w:textAlignment w:val="auto"/>
        <w:rPr>
          <w:b w:val="0"/>
          <w:bCs/>
          <w:sz w:val="32"/>
          <w:szCs w:val="32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/>
          <w:sz w:val="32"/>
          <w:szCs w:val="32"/>
          <w:shd w:val="clear" w:fill="FFFFFF"/>
        </w:rPr>
        <w:t>一是加强学习，引导干部职工重视政府信息公开工作，增强政府信息公开申请办理答复能力，为推动政府信息公开工作再上新台阶夯实基础。二是加大公开力度，尤其是行政处罚、行政强制、行政确认等权力运行的公开，提高群众知晓度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Style w:val="6"/>
          <w:rFonts w:hint="eastAsia" w:ascii="方正黑体简体" w:hAnsi="方正黑体简体" w:eastAsia="方正黑体简体" w:cs="方正黑体简体"/>
          <w:b/>
          <w:bCs/>
          <w:sz w:val="31"/>
          <w:szCs w:val="31"/>
        </w:rPr>
        <w:t>二、主动公开政府信息情况</w:t>
      </w:r>
    </w:p>
    <w:tbl>
      <w:tblPr>
        <w:tblStyle w:val="4"/>
        <w:tblW w:w="86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0"/>
        <w:gridCol w:w="1995"/>
        <w:gridCol w:w="1350"/>
        <w:gridCol w:w="19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86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信息内容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本年新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rPr>
                <w:rStyle w:val="6"/>
                <w:rFonts w:ascii="Calibri" w:hAnsi="Calibri" w:cs="Calibri"/>
                <w:b/>
                <w:bCs/>
                <w:sz w:val="19"/>
                <w:szCs w:val="19"/>
              </w:rPr>
              <w:t>制作数量</w:t>
            </w: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本年新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</w:pPr>
            <w:r>
              <w:rPr>
                <w:rStyle w:val="6"/>
                <w:rFonts w:hint="default" w:ascii="Calibri" w:hAnsi="Calibri" w:cs="Calibri"/>
                <w:b/>
                <w:bCs/>
                <w:sz w:val="19"/>
                <w:szCs w:val="19"/>
              </w:rPr>
              <w:t>公开数量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规章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 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规范性文件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 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6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信息内容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上一年项目数量</w:t>
            </w: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本年增/减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行政许可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其他对外管理服务事项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86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</w:rPr>
              <w:t>信息内容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</w:rPr>
              <w:t>上一年项目数量</w:t>
            </w: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</w:rPr>
              <w:t>本年增/减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</w:rPr>
              <w:t>行政处罚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</w:rPr>
              <w:t>33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  <w:lang w:val="en-US" w:eastAsia="zh-CN"/>
              </w:rPr>
              <w:t>52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  <w:lang w:val="en-US" w:eastAsia="zh-CN"/>
              </w:rPr>
              <w:t>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</w:rPr>
              <w:t>行政强制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  <w:lang w:val="en-US" w:eastAsia="zh-CN"/>
              </w:rPr>
              <w:t>25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  <w:lang w:val="en-US" w:eastAsia="zh-CN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86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信息内容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上一年项目数量</w:t>
            </w:r>
          </w:p>
        </w:tc>
        <w:tc>
          <w:tcPr>
            <w:tcW w:w="33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行政事业性收费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 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6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信息内容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采购项目数量</w:t>
            </w:r>
          </w:p>
        </w:tc>
        <w:tc>
          <w:tcPr>
            <w:tcW w:w="33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政府集中采购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Style w:val="6"/>
                <w:sz w:val="21"/>
                <w:szCs w:val="21"/>
              </w:rPr>
              <w:t>　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  <w:lang w:val="en-US" w:eastAsia="zh-CN"/>
              </w:rPr>
              <w:t>2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376.5万元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420"/>
        <w:jc w:val="both"/>
      </w:pPr>
      <w:r>
        <w:rPr>
          <w:rStyle w:val="6"/>
          <w:rFonts w:hint="eastAsia" w:ascii="宋体" w:hAnsi="宋体" w:eastAsia="宋体" w:cs="宋体"/>
          <w:b/>
          <w:bCs/>
          <w:sz w:val="24"/>
          <w:szCs w:val="24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Style w:val="6"/>
          <w:rFonts w:hint="eastAsia" w:ascii="方正黑体简体" w:hAnsi="方正黑体简体" w:eastAsia="方正黑体简体" w:cs="方正黑体简体"/>
          <w:b/>
          <w:bCs/>
          <w:sz w:val="31"/>
          <w:szCs w:val="31"/>
        </w:rPr>
        <w:t>三、收到和处理政府信息公开申请情况</w:t>
      </w:r>
    </w:p>
    <w:tbl>
      <w:tblPr>
        <w:tblStyle w:val="4"/>
        <w:tblW w:w="931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855"/>
        <w:gridCol w:w="2551"/>
        <w:gridCol w:w="705"/>
        <w:gridCol w:w="644"/>
        <w:gridCol w:w="750"/>
        <w:gridCol w:w="810"/>
        <w:gridCol w:w="975"/>
        <w:gridCol w:w="705"/>
        <w:gridCol w:w="70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021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（本列数据的勾稽关系为：第一项加第二项之和，等于第三项加第四项之和）</w:t>
            </w:r>
          </w:p>
        </w:tc>
        <w:tc>
          <w:tcPr>
            <w:tcW w:w="5294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  <w:jc w:val="center"/>
        </w:trPr>
        <w:tc>
          <w:tcPr>
            <w:tcW w:w="4021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自然人</w:t>
            </w:r>
          </w:p>
        </w:tc>
        <w:tc>
          <w:tcPr>
            <w:tcW w:w="3884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法人或其他组织</w:t>
            </w:r>
          </w:p>
        </w:tc>
        <w:tc>
          <w:tcPr>
            <w:tcW w:w="70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  <w:jc w:val="center"/>
        </w:trPr>
        <w:tc>
          <w:tcPr>
            <w:tcW w:w="4021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科研机构</w:t>
            </w:r>
          </w:p>
        </w:tc>
        <w:tc>
          <w:tcPr>
            <w:tcW w:w="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社会公益组织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法律服务机构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其他</w:t>
            </w:r>
          </w:p>
        </w:tc>
        <w:tc>
          <w:tcPr>
            <w:tcW w:w="70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402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一、本年新收政府信息公开申请数量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02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二、上年结转政府信息公开申请数量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三、本年度办理结果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ascii="楷体" w:hAnsi="楷体" w:eastAsia="楷体" w:cs="楷体"/>
                <w:b/>
                <w:bCs/>
                <w:sz w:val="19"/>
                <w:szCs w:val="19"/>
              </w:rPr>
              <w:t>（一）予以公开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（二）部分公开（区分处理的，只计这一情形，不计其他情形）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（三）不予公开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1.属于国家秘密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2.其他法律行政法规禁止公开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3.危及“三安全一稳定”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4.保护第三方合法权益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5.属于三类内部事务信息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6.属于四类过程性信息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7.属于行政执法案卷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8.属于行政查询事项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（四）无法提供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1.本机关不掌握相关政府信息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2.没有现成信息需要另行制作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3.补正后申请内容仍不明确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（五）不予处理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1.信访举报投诉类申请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2.重复申请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3.要求提供公开出版物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4.无正当理由大量反复申请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5.要求行政机关确认或重新出具已获取信息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（六）其他处理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楷体" w:hAnsi="楷体" w:eastAsia="楷体" w:cs="楷体"/>
                <w:b/>
                <w:bCs/>
                <w:sz w:val="19"/>
                <w:szCs w:val="19"/>
              </w:rPr>
              <w:t>（七）总计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02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四、结转下年度继续办理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420"/>
        <w:jc w:val="both"/>
      </w:pPr>
      <w:r>
        <w:rPr>
          <w:rStyle w:val="6"/>
          <w:rFonts w:hint="eastAsia" w:ascii="宋体" w:hAnsi="宋体" w:eastAsia="宋体" w:cs="宋体"/>
          <w:b/>
          <w:bCs/>
          <w:sz w:val="24"/>
          <w:szCs w:val="24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Style w:val="6"/>
          <w:rFonts w:hint="eastAsia" w:ascii="方正黑体简体" w:hAnsi="方正黑体简体" w:eastAsia="方正黑体简体" w:cs="方正黑体简体"/>
          <w:b/>
          <w:bCs/>
          <w:sz w:val="31"/>
          <w:szCs w:val="31"/>
        </w:rPr>
        <w:t>四、政府信息公开行政复议、行政诉讼情况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420"/>
        <w:jc w:val="both"/>
      </w:pPr>
      <w:r>
        <w:rPr>
          <w:rStyle w:val="6"/>
          <w:rFonts w:hint="eastAsia" w:ascii="宋体" w:hAnsi="宋体" w:eastAsia="宋体" w:cs="宋体"/>
          <w:b/>
          <w:bCs/>
          <w:sz w:val="24"/>
          <w:szCs w:val="24"/>
          <w:shd w:val="clear" w:fill="FFFFFF"/>
        </w:rPr>
        <w:t> </w:t>
      </w:r>
    </w:p>
    <w:tbl>
      <w:tblPr>
        <w:tblStyle w:val="4"/>
        <w:tblW w:w="907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default" w:ascii="Calibri" w:hAnsi="Calibri" w:cs="Calibri"/>
                <w:b/>
                <w:bCs/>
                <w:sz w:val="19"/>
                <w:szCs w:val="19"/>
              </w:rPr>
              <w:t> 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  <w:r>
              <w:rPr>
                <w:rStyle w:val="6"/>
                <w:rFonts w:hint="default" w:ascii="Calibri" w:hAnsi="Calibri" w:cs="Calibri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default" w:ascii="Calibri" w:hAnsi="Calibri" w:cs="Calibri"/>
                <w:b/>
                <w:bCs/>
                <w:sz w:val="19"/>
                <w:szCs w:val="19"/>
              </w:rPr>
              <w:t> 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default" w:ascii="Calibri" w:hAnsi="Calibri" w:cs="Calibri"/>
                <w:b/>
                <w:bCs/>
                <w:sz w:val="19"/>
                <w:szCs w:val="19"/>
              </w:rPr>
              <w:t> 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default" w:ascii="Calibri" w:hAnsi="Calibri" w:cs="Calibri"/>
                <w:b/>
                <w:bCs/>
                <w:sz w:val="19"/>
                <w:szCs w:val="19"/>
              </w:rPr>
              <w:t> </w:t>
            </w: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sz w:val="19"/>
                <w:szCs w:val="19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bCs/>
          <w:sz w:val="24"/>
          <w:szCs w:val="24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b w:val="0"/>
          <w:bCs w:val="0"/>
          <w:sz w:val="21"/>
          <w:szCs w:val="21"/>
        </w:rPr>
      </w:pPr>
      <w:r>
        <w:rPr>
          <w:rStyle w:val="6"/>
          <w:rFonts w:hint="eastAsia" w:ascii="方正黑体简体" w:hAnsi="方正黑体简体" w:eastAsia="方正黑体简体" w:cs="方正黑体简体"/>
          <w:b w:val="0"/>
          <w:bCs w:val="0"/>
          <w:sz w:val="31"/>
          <w:szCs w:val="31"/>
        </w:rPr>
        <w:t>五、存在的主要问题及改进情况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420"/>
        <w:jc w:val="both"/>
        <w:rPr>
          <w:b w:val="0"/>
          <w:bCs w:val="0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 w:val="0"/>
          <w:sz w:val="31"/>
          <w:szCs w:val="31"/>
          <w:shd w:val="clear" w:fill="FFFFFF"/>
        </w:rPr>
        <w:t>202</w:t>
      </w:r>
      <w:r>
        <w:rPr>
          <w:rStyle w:val="6"/>
          <w:rFonts w:hint="eastAsia" w:ascii="方正仿宋简体" w:hAnsi="方正仿宋简体" w:eastAsia="方正仿宋简体" w:cs="方正仿宋简体"/>
          <w:b w:val="0"/>
          <w:bCs w:val="0"/>
          <w:sz w:val="31"/>
          <w:szCs w:val="31"/>
          <w:shd w:val="clear" w:fill="FFFFFF"/>
          <w:lang w:val="en-US" w:eastAsia="zh-CN"/>
        </w:rPr>
        <w:t>1</w:t>
      </w:r>
      <w:r>
        <w:rPr>
          <w:rStyle w:val="6"/>
          <w:rFonts w:hint="eastAsia" w:ascii="方正仿宋简体" w:hAnsi="方正仿宋简体" w:eastAsia="方正仿宋简体" w:cs="方正仿宋简体"/>
          <w:b w:val="0"/>
          <w:bCs w:val="0"/>
          <w:sz w:val="31"/>
          <w:szCs w:val="31"/>
          <w:shd w:val="clear" w:fill="FFFFFF"/>
        </w:rPr>
        <w:t>年，我局信息公开整体水平得到了有效提升，但仍有不足，主要表现在：一是有些政府信息主动公开不够及时，工作主动性还需进一步提高；二是政策解读质量有待提高，仍存在政策解读机制不健全，解读内容过于简单等问题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420"/>
        <w:jc w:val="both"/>
        <w:rPr>
          <w:b w:val="0"/>
          <w:bCs w:val="0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 w:val="0"/>
          <w:sz w:val="31"/>
          <w:szCs w:val="31"/>
          <w:shd w:val="clear" w:fill="FFFFFF"/>
        </w:rPr>
        <w:t>下阶段，我局将围绕市、区重大决策部署和公众关切，认真落实区管委会政务公开工作要求，加大公开力度，不断增强公开实效，切实保障人民群众的知情权、参与权和监督权。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420"/>
        <w:jc w:val="both"/>
        <w:rPr>
          <w:b w:val="0"/>
          <w:bCs w:val="0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1"/>
          <w:szCs w:val="31"/>
          <w:shd w:val="clear" w:fill="FFFFFF"/>
        </w:rPr>
        <w:t>（一）</w:t>
      </w:r>
      <w:r>
        <w:rPr>
          <w:rStyle w:val="6"/>
          <w:rFonts w:hint="eastAsia" w:ascii="方正仿宋简体" w:hAnsi="方正仿宋简体" w:eastAsia="方正仿宋简体" w:cs="方正仿宋简体"/>
          <w:b w:val="0"/>
          <w:bCs w:val="0"/>
          <w:sz w:val="31"/>
          <w:szCs w:val="31"/>
          <w:shd w:val="clear" w:fill="FFFFFF"/>
        </w:rPr>
        <w:t>进一步提高公开成效。完善局内政务公开各项制度，加大政务公开制度的执行力度。持续开展政务公开工作队伍业务培训，充实队伍力量、稳定工作队伍、提升整体工作水平。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420" w:right="0"/>
        <w:jc w:val="both"/>
        <w:rPr>
          <w:b w:val="0"/>
          <w:bCs w:val="0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 w:val="0"/>
          <w:sz w:val="31"/>
          <w:szCs w:val="31"/>
          <w:shd w:val="clear" w:fill="FFFFFF"/>
        </w:rPr>
        <w:t>（二）进一步加强政策解读工作，重点做好涉及群众切身利益特别是食品药品、产品质量等方面政策措施的宣传解读工作，要及时回应群众关切，传递权威信息，避免错误解读。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645"/>
        <w:rPr>
          <w:b w:val="0"/>
          <w:bCs w:val="0"/>
          <w:sz w:val="21"/>
          <w:szCs w:val="21"/>
        </w:rPr>
      </w:pPr>
      <w:r>
        <w:rPr>
          <w:rStyle w:val="6"/>
          <w:rFonts w:hint="eastAsia" w:ascii="方正黑体简体" w:hAnsi="方正黑体简体" w:eastAsia="方正黑体简体" w:cs="方正黑体简体"/>
          <w:b w:val="0"/>
          <w:bCs w:val="0"/>
          <w:sz w:val="31"/>
          <w:szCs w:val="31"/>
        </w:rPr>
        <w:t>六、其他需要报告的事项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420"/>
        <w:jc w:val="both"/>
        <w:rPr>
          <w:b w:val="0"/>
          <w:bCs w:val="0"/>
        </w:rPr>
      </w:pPr>
      <w:r>
        <w:rPr>
          <w:rStyle w:val="6"/>
          <w:rFonts w:hint="eastAsia" w:ascii="方正仿宋简体" w:hAnsi="方正仿宋简体" w:eastAsia="方正仿宋简体" w:cs="方正仿宋简体"/>
          <w:b w:val="0"/>
          <w:bCs w:val="0"/>
          <w:sz w:val="31"/>
          <w:szCs w:val="31"/>
          <w:shd w:val="clear" w:fill="FFFFFF"/>
        </w:rPr>
        <w:t>无其他需要报告的事项。</w:t>
      </w:r>
    </w:p>
    <w:p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AED65B47-52E6-4C6D-B4AC-CBF8D516F54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C7D8DAA-3ED1-4280-B9B4-8DC6848BA738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B46DD95-77B6-4F8C-A6B6-39E6ABB8B7AD}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9A6BB17-99FD-46D9-ADAC-1ABCB8C91903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0DAF181F-CCA0-449C-AD43-A749E9C0623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1A7FBB2-7775-46CC-8078-719036751F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36C7F"/>
    <w:rsid w:val="116F5173"/>
    <w:rsid w:val="1E641526"/>
    <w:rsid w:val="226C32AF"/>
    <w:rsid w:val="27BC5C04"/>
    <w:rsid w:val="286C5AD0"/>
    <w:rsid w:val="2CC66F08"/>
    <w:rsid w:val="2D5B724B"/>
    <w:rsid w:val="31986C26"/>
    <w:rsid w:val="32FA790B"/>
    <w:rsid w:val="3B6679FE"/>
    <w:rsid w:val="3DFC4E7F"/>
    <w:rsid w:val="41A203A0"/>
    <w:rsid w:val="44A66BFA"/>
    <w:rsid w:val="4C485734"/>
    <w:rsid w:val="4F9C3DCC"/>
    <w:rsid w:val="57E83566"/>
    <w:rsid w:val="59710498"/>
    <w:rsid w:val="59BB0154"/>
    <w:rsid w:val="5DF77954"/>
    <w:rsid w:val="5EC65DD8"/>
    <w:rsid w:val="62EE2156"/>
    <w:rsid w:val="679847E6"/>
    <w:rsid w:val="744F6F9A"/>
    <w:rsid w:val="78505AD2"/>
    <w:rsid w:val="79B6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still shines</cp:lastModifiedBy>
  <dcterms:modified xsi:type="dcterms:W3CDTF">2022-03-08T02:18:29Z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39943F9904AF4C098CD87D99CD7F9759</vt:lpwstr>
  </property>
</Properties>
</file>