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auto"/>
          <w:spacing w:val="-17"/>
          <w:sz w:val="44"/>
          <w:szCs w:val="44"/>
          <w:shd w:val="clear" w:fill="FFFFFF"/>
          <w:lang w:val="en-US" w:eastAsia="zh-CN"/>
        </w:rPr>
      </w:pPr>
      <w:r>
        <w:rPr>
          <w:rFonts w:hint="eastAsia" w:ascii="方正小标宋简体" w:hAnsi="方正小标宋简体" w:eastAsia="方正小标宋简体" w:cs="方正小标宋简体"/>
          <w:b w:val="0"/>
          <w:bCs/>
          <w:i w:val="0"/>
          <w:caps w:val="0"/>
          <w:color w:val="auto"/>
          <w:spacing w:val="-17"/>
          <w:sz w:val="44"/>
          <w:szCs w:val="44"/>
          <w:shd w:val="clear" w:fill="FFFFFF"/>
          <w:lang w:val="en-US" w:eastAsia="zh-CN"/>
        </w:rPr>
        <w:t>济宁北湖省级旅游度假区经济发展局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17"/>
          <w:sz w:val="44"/>
          <w:szCs w:val="44"/>
          <w:shd w:val="clear" w:fill="FFFFFF"/>
          <w:lang w:val="en-US" w:eastAsia="zh-CN"/>
        </w:rPr>
        <w:t>2023年</w:t>
      </w:r>
      <w:r>
        <w:rPr>
          <w:rFonts w:hint="eastAsia" w:ascii="方正小标宋简体" w:hAnsi="方正小标宋简体" w:eastAsia="方正小标宋简体" w:cs="方正小标宋简体"/>
          <w:b w:val="0"/>
          <w:bCs/>
          <w:i w:val="0"/>
          <w:caps w:val="0"/>
          <w:color w:val="auto"/>
          <w:spacing w:val="-17"/>
          <w:sz w:val="44"/>
          <w:szCs w:val="44"/>
          <w:shd w:val="clear" w:fill="FFFFFF"/>
        </w:rPr>
        <w:t>政府信息公开工作</w:t>
      </w:r>
      <w:r>
        <w:rPr>
          <w:rFonts w:hint="eastAsia" w:ascii="方正小标宋简体" w:hAnsi="方正小标宋简体" w:eastAsia="方正小标宋简体" w:cs="方正小标宋简体"/>
          <w:b w:val="0"/>
          <w:bCs/>
          <w:i w:val="0"/>
          <w:caps w:val="0"/>
          <w:color w:val="auto"/>
          <w:spacing w:val="0"/>
          <w:sz w:val="44"/>
          <w:szCs w:val="44"/>
          <w:shd w:val="clear" w:fill="FFFFFF"/>
        </w:rPr>
        <w:t>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both"/>
        <w:rPr>
          <w:rFonts w:hint="eastAsia" w:ascii="宋体" w:hAnsi="宋体" w:eastAsia="宋体" w:cs="宋体"/>
          <w:i w:val="0"/>
          <w:caps w:val="0"/>
          <w:color w:val="333333"/>
          <w:spacing w:val="0"/>
          <w:sz w:val="24"/>
          <w:szCs w:val="24"/>
          <w:lang w:eastAsia="zh-CN"/>
        </w:rPr>
      </w:pPr>
    </w:p>
    <w:p>
      <w:pPr>
        <w:spacing w:line="590" w:lineRule="exact"/>
        <w:ind w:right="-105" w:rightChars="-50" w:firstLine="622" w:firstLineChars="200"/>
        <w:rPr>
          <w:rStyle w:val="6"/>
          <w:rFonts w:ascii="方正仿宋简体" w:hAnsi="方正仿宋简体" w:eastAsia="方正仿宋简体" w:cs="方正仿宋简体"/>
          <w:i w:val="0"/>
          <w:iCs w:val="0"/>
          <w:caps w:val="0"/>
          <w:color w:val="000000"/>
          <w:spacing w:val="0"/>
          <w:sz w:val="31"/>
          <w:szCs w:val="31"/>
        </w:rPr>
      </w:pPr>
      <w:r>
        <w:rPr>
          <w:rStyle w:val="6"/>
          <w:rFonts w:ascii="方正仿宋简体" w:hAnsi="方正仿宋简体" w:eastAsia="方正仿宋简体" w:cs="方正仿宋简体"/>
          <w:i w:val="0"/>
          <w:iCs w:val="0"/>
          <w:caps w:val="0"/>
          <w:color w:val="000000"/>
          <w:spacing w:val="0"/>
          <w:sz w:val="31"/>
          <w:szCs w:val="31"/>
        </w:rPr>
        <w:t>本报告由</w:t>
      </w:r>
      <w:r>
        <w:rPr>
          <w:rStyle w:val="6"/>
          <w:rFonts w:hint="eastAsia" w:ascii="方正仿宋简体" w:hAnsi="方正仿宋简体" w:eastAsia="方正仿宋简体" w:cs="方正仿宋简体"/>
          <w:i w:val="0"/>
          <w:iCs w:val="0"/>
          <w:caps w:val="0"/>
          <w:color w:val="000000"/>
          <w:spacing w:val="0"/>
          <w:sz w:val="31"/>
          <w:szCs w:val="31"/>
        </w:rPr>
        <w:t>济宁北湖省级旅游度假区经济发展局按照</w:t>
      </w:r>
      <w:r>
        <w:rPr>
          <w:rFonts w:hint="eastAsia" w:ascii="方正仿宋简体" w:hAnsi="文星仿宋" w:eastAsia="方正仿宋简体" w:cs="方正仿宋简体"/>
          <w:b/>
          <w:color w:val="000000"/>
          <w:sz w:val="32"/>
          <w:szCs w:val="32"/>
        </w:rPr>
        <w:t>《中华人民共和国政府信息公开条例》（简称</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条例</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）和《中华人民共和国政府信息公开工作年度报告格式》（国办公开办函</w:t>
      </w:r>
      <w:r>
        <w:rPr>
          <w:rFonts w:hint="eastAsia" w:ascii="Times New Roman" w:hAnsi="Times New Roman" w:eastAsia="方正仿宋简体" w:cs="Times New Roman"/>
          <w:b/>
          <w:color w:val="000000"/>
          <w:sz w:val="32"/>
          <w:szCs w:val="32"/>
        </w:rPr>
        <w:t>〔2021〕30号</w:t>
      </w:r>
      <w:r>
        <w:rPr>
          <w:rFonts w:hint="eastAsia" w:ascii="方正仿宋简体" w:hAnsi="文星仿宋" w:eastAsia="方正仿宋简体" w:cs="方正仿宋简体"/>
          <w:b/>
          <w:color w:val="000000"/>
          <w:sz w:val="32"/>
          <w:szCs w:val="32"/>
        </w:rPr>
        <w:t>）</w:t>
      </w:r>
      <w:r>
        <w:rPr>
          <w:rStyle w:val="6"/>
          <w:rFonts w:ascii="方正仿宋简体" w:hAnsi="方正仿宋简体" w:eastAsia="方正仿宋简体" w:cs="方正仿宋简体"/>
          <w:i w:val="0"/>
          <w:iCs w:val="0"/>
          <w:caps w:val="0"/>
          <w:color w:val="000000"/>
          <w:spacing w:val="0"/>
          <w:sz w:val="31"/>
          <w:szCs w:val="31"/>
        </w:rPr>
        <w:t>要求编制。</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eastAsia" w:ascii="宋体" w:hAnsi="宋体" w:eastAsia="宋体" w:cs="宋体"/>
          <w:i w:val="0"/>
          <w:caps w:val="0"/>
          <w:color w:val="333333"/>
          <w:spacing w:val="0"/>
          <w:sz w:val="24"/>
          <w:szCs w:val="24"/>
          <w:lang w:eastAsia="zh-CN"/>
        </w:rPr>
      </w:pPr>
      <w:r>
        <w:rPr>
          <w:rFonts w:hint="default" w:ascii="Times New Roman" w:hAnsi="Times New Roman" w:eastAsia="方正仿宋简体" w:cs="Times New Roman"/>
          <w:b/>
          <w:color w:val="000000"/>
          <w:sz w:val="32"/>
          <w:szCs w:val="32"/>
        </w:rPr>
        <w:t>本报告所列数据的统计期限自202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w:t>
      </w:r>
      <w:r>
        <w:rPr>
          <w:rFonts w:hint="eastAsia" w:ascii="Times New Roman" w:hAnsi="Times New Roman" w:eastAsia="方正仿宋简体" w:cs="Times New Roman"/>
          <w:b/>
          <w:color w:val="000000"/>
          <w:sz w:val="32"/>
          <w:szCs w:val="32"/>
          <w:lang w:eastAsia="zh-CN"/>
        </w:rPr>
        <w:t>“中国</w:t>
      </w:r>
      <w:r>
        <w:rPr>
          <w:rFonts w:hint="eastAsia" w:ascii="Times New Roman" w:hAnsi="Times New Roman" w:eastAsia="方正仿宋简体" w:cs="Times New Roman"/>
          <w:b/>
          <w:color w:val="000000"/>
          <w:sz w:val="32"/>
          <w:szCs w:val="32"/>
          <w:lang w:val="en-US" w:eastAsia="zh-CN"/>
        </w:rPr>
        <w:t>·济宁</w:t>
      </w:r>
      <w:r>
        <w:rPr>
          <w:rFonts w:hint="eastAsia" w:ascii="Times New Roman" w:hAnsi="Times New Roman" w:eastAsia="方正仿宋简体" w:cs="Times New Roman"/>
          <w:b/>
          <w:color w:val="000000"/>
          <w:sz w:val="32"/>
          <w:szCs w:val="32"/>
          <w:lang w:eastAsia="zh-CN"/>
        </w:rPr>
        <w:t>”门户网站</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http://bhdjq.jining.gov.cn/</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查阅或下载。如对本报告有疑问，请与</w:t>
      </w:r>
      <w:r>
        <w:rPr>
          <w:rFonts w:hint="default" w:ascii="Times New Roman" w:hAnsi="Times New Roman" w:eastAsia="方正仿宋简体" w:cs="Times New Roman"/>
          <w:b/>
          <w:color w:val="000000"/>
          <w:sz w:val="32"/>
          <w:szCs w:val="32"/>
          <w:lang w:val="en-US" w:eastAsia="zh-CN"/>
        </w:rPr>
        <w:t>济宁北湖省级旅游度假区经济发展局</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新城发展大厦A座三楼三区</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6567257</w:t>
      </w:r>
      <w:r>
        <w:rPr>
          <w:rFonts w:hint="default" w:ascii="Times New Roman" w:hAnsi="Times New Roman" w:eastAsia="方正仿宋简体" w:cs="Times New Roman"/>
          <w:b/>
          <w:color w:val="000000"/>
          <w:sz w:val="32"/>
          <w:szCs w:val="32"/>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rightChars="0" w:firstLine="640" w:firstLineChars="200"/>
        <w:jc w:val="both"/>
        <w:rPr>
          <w:rFonts w:hint="eastAsia" w:ascii="方正黑体简体" w:hAnsi="方正黑体简体" w:eastAsia="方正黑体简体" w:cs="方正黑体简体"/>
          <w:b w:val="0"/>
          <w:bCs/>
          <w:i w:val="0"/>
          <w:caps w:val="0"/>
          <w:color w:val="auto"/>
          <w:spacing w:val="0"/>
          <w:sz w:val="32"/>
          <w:szCs w:val="32"/>
          <w:shd w:val="clear" w:fill="FFFFFF"/>
        </w:rPr>
      </w:pPr>
      <w:r>
        <w:rPr>
          <w:rFonts w:hint="eastAsia" w:ascii="方正黑体简体" w:hAnsi="方正黑体简体" w:eastAsia="方正黑体简体" w:cs="方正黑体简体"/>
          <w:b w:val="0"/>
          <w:bCs/>
          <w:i w:val="0"/>
          <w:caps w:val="0"/>
          <w:color w:val="auto"/>
          <w:spacing w:val="0"/>
          <w:sz w:val="32"/>
          <w:szCs w:val="32"/>
          <w:shd w:val="clear" w:fill="FFFFFF"/>
        </w:rPr>
        <w:t>一、总体情况</w:t>
      </w:r>
    </w:p>
    <w:p>
      <w:pPr>
        <w:spacing w:line="240" w:lineRule="auto"/>
        <w:ind w:firstLine="643" w:firstLineChars="200"/>
        <w:rPr>
          <w:rFonts w:hint="eastAsia" w:ascii="仿宋_GB2312" w:hAnsi="仿宋_GB2312" w:eastAsia="仿宋_GB2312" w:cs="仿宋_GB2312"/>
          <w:sz w:val="32"/>
          <w:szCs w:val="32"/>
          <w:lang w:val="en-US" w:eastAsia="zh-CN"/>
        </w:rPr>
      </w:pPr>
      <w:r>
        <w:rPr>
          <w:rFonts w:hint="default" w:ascii="Times New Roman" w:hAnsi="Times New Roman" w:eastAsia="方正仿宋简体" w:cs="Times New Roman"/>
          <w:b/>
          <w:color w:val="000000"/>
          <w:sz w:val="32"/>
          <w:szCs w:val="32"/>
          <w:lang w:eastAsia="zh-CN"/>
        </w:rPr>
        <w:t>济宁北湖省级旅游度假区经济发展局</w:t>
      </w:r>
      <w:r>
        <w:rPr>
          <w:rFonts w:hint="eastAsia" w:ascii="Times New Roman" w:hAnsi="Times New Roman" w:eastAsia="方正仿宋简体" w:cs="Times New Roman"/>
          <w:b/>
          <w:color w:val="000000"/>
          <w:sz w:val="32"/>
          <w:szCs w:val="32"/>
          <w:lang w:eastAsia="zh-CN"/>
        </w:rPr>
        <w:t>以</w:t>
      </w:r>
      <w:r>
        <w:rPr>
          <w:rFonts w:hint="default" w:ascii="Times New Roman" w:hAnsi="Times New Roman" w:eastAsia="方正仿宋简体" w:cs="Times New Roman"/>
          <w:b/>
          <w:color w:val="000000"/>
          <w:sz w:val="32"/>
          <w:szCs w:val="32"/>
          <w:lang w:eastAsia="zh-CN"/>
        </w:rPr>
        <w:t>习近平新时代中国特色社会主义思想为指导</w:t>
      </w:r>
      <w:r>
        <w:rPr>
          <w:rFonts w:hint="eastAsia" w:ascii="Times New Roman" w:hAnsi="Times New Roman" w:eastAsia="方正仿宋简体" w:cs="Times New Roman"/>
          <w:b/>
          <w:color w:val="000000"/>
          <w:sz w:val="32"/>
          <w:szCs w:val="32"/>
          <w:lang w:eastAsia="zh-CN"/>
        </w:rPr>
        <w:t>，深入</w:t>
      </w:r>
      <w:r>
        <w:rPr>
          <w:rFonts w:hint="default" w:ascii="Times New Roman" w:hAnsi="Times New Roman" w:eastAsia="方正仿宋简体" w:cs="Times New Roman"/>
          <w:b/>
          <w:color w:val="000000"/>
          <w:sz w:val="32"/>
          <w:szCs w:val="32"/>
        </w:rPr>
        <w:t>贯彻落实</w:t>
      </w:r>
      <w:r>
        <w:rPr>
          <w:rFonts w:hint="eastAsia" w:ascii="Times New Roman" w:hAnsi="Times New Roman" w:eastAsia="方正仿宋简体" w:cs="Times New Roman"/>
          <w:b/>
          <w:color w:val="000000"/>
          <w:sz w:val="32"/>
          <w:szCs w:val="32"/>
          <w:lang w:eastAsia="zh-CN"/>
        </w:rPr>
        <w:t>党的二十大精神和</w:t>
      </w:r>
      <w:r>
        <w:rPr>
          <w:rFonts w:hint="default"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eastAsia="zh-CN"/>
        </w:rPr>
        <w:t>中华人民共和国政府信息公开</w:t>
      </w:r>
      <w:r>
        <w:rPr>
          <w:rFonts w:hint="default" w:ascii="Times New Roman" w:hAnsi="Times New Roman" w:eastAsia="方正仿宋简体" w:cs="Times New Roman"/>
          <w:b/>
          <w:color w:val="000000"/>
          <w:sz w:val="32"/>
          <w:szCs w:val="32"/>
        </w:rPr>
        <w:t>条例》等相关文件规定</w:t>
      </w:r>
      <w:r>
        <w:rPr>
          <w:rFonts w:hint="default" w:ascii="Times New Roman" w:hAnsi="Times New Roman"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lang w:eastAsia="zh-CN"/>
        </w:rPr>
        <w:t>结合经济发展局工作职责与实际，</w:t>
      </w:r>
      <w:r>
        <w:rPr>
          <w:rFonts w:hint="default" w:ascii="Times New Roman" w:hAnsi="Times New Roman" w:eastAsia="方正仿宋简体" w:cs="Times New Roman"/>
          <w:b/>
          <w:color w:val="000000"/>
          <w:sz w:val="32"/>
          <w:szCs w:val="32"/>
          <w:lang w:eastAsia="zh-CN"/>
        </w:rPr>
        <w:t>围绕助力经济平稳健康发展和保持社会和谐稳定、提高政策公开质量、夯实公开工作基础等方面深化政务公开，</w:t>
      </w:r>
      <w:r>
        <w:rPr>
          <w:rFonts w:hint="default" w:ascii="Times New Roman" w:hAnsi="Times New Roman" w:eastAsia="方正仿宋简体" w:cs="Times New Roman"/>
          <w:b/>
          <w:color w:val="000000"/>
          <w:sz w:val="32"/>
          <w:szCs w:val="32"/>
        </w:rPr>
        <w:t>在</w:t>
      </w:r>
      <w:r>
        <w:rPr>
          <w:rFonts w:hint="default" w:ascii="Times New Roman" w:hAnsi="Times New Roman" w:eastAsia="方正仿宋简体" w:cs="Times New Roman"/>
          <w:b/>
          <w:color w:val="000000"/>
          <w:sz w:val="32"/>
          <w:szCs w:val="32"/>
          <w:lang w:eastAsia="zh-CN"/>
        </w:rPr>
        <w:t>济宁</w:t>
      </w:r>
      <w:r>
        <w:rPr>
          <w:rFonts w:hint="default" w:ascii="Times New Roman" w:hAnsi="Times New Roman" w:eastAsia="方正仿宋简体" w:cs="Times New Roman"/>
          <w:b/>
          <w:color w:val="000000"/>
          <w:sz w:val="32"/>
          <w:szCs w:val="32"/>
        </w:rPr>
        <w:t>市</w:t>
      </w:r>
      <w:r>
        <w:rPr>
          <w:rFonts w:hint="default" w:ascii="Times New Roman" w:hAnsi="Times New Roman" w:eastAsia="方正仿宋简体" w:cs="Times New Roman"/>
          <w:b/>
          <w:color w:val="000000"/>
          <w:sz w:val="32"/>
          <w:szCs w:val="32"/>
          <w:lang w:eastAsia="zh-CN"/>
        </w:rPr>
        <w:t>太白湖新区管理委员会</w:t>
      </w:r>
      <w:r>
        <w:rPr>
          <w:rFonts w:hint="default" w:ascii="Times New Roman" w:hAnsi="Times New Roman" w:eastAsia="方正仿宋简体" w:cs="Times New Roman"/>
          <w:b/>
          <w:color w:val="000000"/>
          <w:sz w:val="32"/>
          <w:szCs w:val="32"/>
        </w:rPr>
        <w:t>政府信息门户网不断规范公开信息内容，创新公开形式，充分发挥信息公开在建设法治政府、服务型政府等方面的促进作用。公开内容涉及部门职能、机构设置、政策发布、财务预决算、</w:t>
      </w:r>
      <w:r>
        <w:rPr>
          <w:rFonts w:hint="eastAsia" w:ascii="Times New Roman" w:hAnsi="Times New Roman" w:eastAsia="方正仿宋简体" w:cs="Times New Roman"/>
          <w:b/>
          <w:color w:val="000000"/>
          <w:sz w:val="32"/>
          <w:szCs w:val="32"/>
          <w:lang w:eastAsia="zh-CN"/>
        </w:rPr>
        <w:t>统计信息、重点领域</w:t>
      </w:r>
      <w:r>
        <w:rPr>
          <w:rFonts w:hint="default" w:ascii="Times New Roman" w:hAnsi="Times New Roman" w:eastAsia="方正仿宋简体" w:cs="Times New Roman"/>
          <w:b/>
          <w:color w:val="000000"/>
          <w:sz w:val="32"/>
          <w:szCs w:val="32"/>
          <w:lang w:eastAsia="zh-CN"/>
        </w:rPr>
        <w:t>和社会发展</w:t>
      </w:r>
      <w:r>
        <w:rPr>
          <w:rFonts w:hint="eastAsia" w:ascii="Times New Roman" w:hAnsi="Times New Roman" w:eastAsia="方正仿宋简体" w:cs="Times New Roman"/>
          <w:b/>
          <w:color w:val="000000"/>
          <w:sz w:val="32"/>
          <w:szCs w:val="32"/>
          <w:lang w:eastAsia="zh-CN"/>
        </w:rPr>
        <w:t>计划</w:t>
      </w:r>
      <w:r>
        <w:rPr>
          <w:rFonts w:hint="default" w:ascii="Times New Roman" w:hAnsi="Times New Roman" w:eastAsia="方正仿宋简体" w:cs="Times New Roman"/>
          <w:b/>
          <w:color w:val="000000"/>
          <w:sz w:val="32"/>
          <w:szCs w:val="32"/>
          <w:lang w:eastAsia="zh-CN"/>
        </w:rPr>
        <w:t>规划</w:t>
      </w:r>
      <w:r>
        <w:rPr>
          <w:rFonts w:hint="default" w:ascii="Times New Roman" w:hAnsi="Times New Roman" w:eastAsia="方正仿宋简体" w:cs="Times New Roman"/>
          <w:b/>
          <w:color w:val="000000"/>
          <w:sz w:val="32"/>
          <w:szCs w:val="32"/>
        </w:rPr>
        <w:t>等。</w:t>
      </w:r>
    </w:p>
    <w:p>
      <w:pPr>
        <w:numPr>
          <w:ilvl w:val="0"/>
          <w:numId w:val="0"/>
        </w:numPr>
        <w:spacing w:line="560" w:lineRule="exact"/>
        <w:ind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（一）主动公开方面</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2023</w:t>
      </w:r>
      <w:r>
        <w:rPr>
          <w:rFonts w:hint="default" w:ascii="Times New Roman" w:hAnsi="Times New Roman" w:eastAsia="方正仿宋简体" w:cs="Times New Roman"/>
          <w:b/>
          <w:color w:val="000000"/>
          <w:sz w:val="32"/>
          <w:szCs w:val="32"/>
        </w:rPr>
        <w:t>年，</w:t>
      </w:r>
      <w:r>
        <w:rPr>
          <w:rFonts w:hint="default" w:ascii="Times New Roman" w:hAnsi="Times New Roman" w:eastAsia="方正仿宋简体" w:cs="Times New Roman"/>
          <w:b/>
          <w:color w:val="000000"/>
          <w:sz w:val="32"/>
          <w:szCs w:val="32"/>
          <w:lang w:eastAsia="zh-CN"/>
        </w:rPr>
        <w:t>区</w:t>
      </w:r>
      <w:r>
        <w:rPr>
          <w:rFonts w:hint="default" w:ascii="Times New Roman" w:hAnsi="Times New Roman" w:eastAsia="方正仿宋简体" w:cs="Times New Roman"/>
          <w:b/>
          <w:color w:val="000000"/>
          <w:sz w:val="32"/>
          <w:szCs w:val="32"/>
        </w:rPr>
        <w:t>经济发展局通过政府网站主动公开政府信息数</w:t>
      </w:r>
      <w:r>
        <w:rPr>
          <w:rFonts w:hint="eastAsia" w:ascii="Times New Roman" w:hAnsi="Times New Roman" w:eastAsia="方正仿宋简体" w:cs="Times New Roman"/>
          <w:b/>
          <w:color w:val="000000"/>
          <w:sz w:val="32"/>
          <w:szCs w:val="32"/>
          <w:lang w:val="en-US" w:eastAsia="zh-CN"/>
        </w:rPr>
        <w:t>27</w:t>
      </w:r>
      <w:r>
        <w:rPr>
          <w:rFonts w:hint="default"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t>，包括图文解读</w:t>
      </w:r>
      <w:r>
        <w:rPr>
          <w:rFonts w:hint="eastAsia" w:ascii="Times New Roman" w:hAnsi="Times New Roman" w:eastAsia="方正仿宋简体" w:cs="Times New Roman"/>
          <w:b/>
          <w:color w:val="000000"/>
          <w:sz w:val="32"/>
          <w:szCs w:val="32"/>
          <w:lang w:val="en-US" w:eastAsia="zh-CN"/>
        </w:rPr>
        <w:t>5条、财政信息2条、价格与收费栏目1条、扩大有效投资栏目3条、重点领域信息公开1条、基层政务公开标准化规范化工作2条、行政权力3条、统计信息1条、法规文件8条、主动公开基本目录1条</w:t>
      </w:r>
      <w:r>
        <w:rPr>
          <w:rFonts w:hint="default" w:ascii="Times New Roman" w:hAnsi="Times New Roman" w:eastAsia="方正仿宋简体" w:cs="Times New Roman"/>
          <w:b/>
          <w:color w:val="000000"/>
          <w:sz w:val="32"/>
          <w:szCs w:val="32"/>
        </w:rPr>
        <w:t>。</w:t>
      </w:r>
    </w:p>
    <w:p>
      <w:pPr>
        <w:pStyle w:val="2"/>
        <w:jc w:val="center"/>
        <w:rPr>
          <w:rFonts w:hint="eastAsia"/>
        </w:rPr>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numPr>
          <w:ilvl w:val="0"/>
          <w:numId w:val="0"/>
        </w:numPr>
        <w:spacing w:line="590" w:lineRule="exact"/>
        <w:ind w:leftChars="0" w:right="-105" w:rightChars="-50"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（二）依申请公开工作方面</w:t>
      </w:r>
    </w:p>
    <w:p>
      <w:pPr>
        <w:numPr>
          <w:ilvl w:val="0"/>
          <w:numId w:val="0"/>
        </w:numPr>
        <w:spacing w:line="590" w:lineRule="exact"/>
        <w:ind w:right="-105" w:rightChars="-50" w:firstLine="643" w:firstLineChars="200"/>
        <w:rPr>
          <w:rFonts w:hint="eastAsia" w:ascii="仿宋_GB2312" w:hAnsi="仿宋_GB2312" w:eastAsia="仿宋_GB2312" w:cs="仿宋_GB2312"/>
          <w:color w:val="FF0000"/>
          <w:sz w:val="32"/>
          <w:szCs w:val="32"/>
          <w:lang w:val="en-US" w:eastAsia="zh-CN"/>
        </w:rPr>
      </w:pPr>
      <w:r>
        <w:rPr>
          <w:rFonts w:hint="eastAsia" w:ascii="Times New Roman" w:hAnsi="Times New Roman" w:eastAsia="方正仿宋简体" w:cs="Times New Roman"/>
          <w:b/>
          <w:color w:val="000000"/>
          <w:sz w:val="32"/>
          <w:szCs w:val="32"/>
          <w:lang w:val="en-US" w:eastAsia="zh-CN"/>
        </w:rPr>
        <w:t>2023</w:t>
      </w:r>
      <w:r>
        <w:rPr>
          <w:rFonts w:hint="default" w:ascii="Times New Roman" w:hAnsi="Times New Roman" w:eastAsia="方正仿宋简体" w:cs="Times New Roman"/>
          <w:b/>
          <w:color w:val="000000"/>
          <w:sz w:val="32"/>
          <w:szCs w:val="32"/>
          <w:lang w:val="en-US" w:eastAsia="zh-CN"/>
        </w:rPr>
        <w:t xml:space="preserve">年，区经济发展局未发生有关政府信息公开的申请，未发生任何对依申请公开政府信息进行收费的行为，未发生因政府信息公开申请行政复议、提起行政诉讼的情况。 </w:t>
      </w:r>
    </w:p>
    <w:p>
      <w:pPr>
        <w:numPr>
          <w:ilvl w:val="0"/>
          <w:numId w:val="0"/>
        </w:numPr>
        <w:spacing w:line="560" w:lineRule="exact"/>
        <w:ind w:leftChars="0"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（三）政府信息管理方面</w:t>
      </w:r>
    </w:p>
    <w:p>
      <w:pPr>
        <w:numPr>
          <w:ilvl w:val="0"/>
          <w:numId w:val="0"/>
        </w:numPr>
        <w:spacing w:line="560" w:lineRule="exact"/>
        <w:ind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Times New Roman" w:hAnsi="Times New Roman" w:eastAsia="方正仿宋简体" w:cs="Times New Roman"/>
          <w:b/>
          <w:color w:val="000000"/>
          <w:sz w:val="32"/>
          <w:szCs w:val="32"/>
          <w:lang w:val="en-US" w:eastAsia="zh-CN"/>
        </w:rPr>
        <w:t>按照太白湖新区管理委员会关于信息公开工作意见的文件要求，经济发展局认真制定实施意见，明确信息公开工作指导思想、信息公开原则、公开内容、公开形式、具体要求、组织领导、监督保障措施等，对我局信息公开工作进行全面安排部署。坚持信息公开依法公开、真实工作、突出重点、注重实效的原则，</w:t>
      </w:r>
      <w:r>
        <w:rPr>
          <w:rFonts w:hint="default" w:ascii="Times New Roman" w:hAnsi="Times New Roman" w:eastAsia="方正仿宋简体" w:cs="Times New Roman"/>
          <w:b/>
          <w:color w:val="000000"/>
          <w:sz w:val="32"/>
          <w:szCs w:val="32"/>
          <w:lang w:val="en-US" w:eastAsia="zh-CN"/>
        </w:rPr>
        <w:t>通过政府网站及时发布产业发展、发展改革</w:t>
      </w:r>
      <w:r>
        <w:rPr>
          <w:rFonts w:hint="eastAsia" w:ascii="Times New Roman" w:hAnsi="Times New Roman" w:eastAsia="方正仿宋简体" w:cs="Times New Roman"/>
          <w:b/>
          <w:color w:val="000000"/>
          <w:sz w:val="32"/>
          <w:szCs w:val="32"/>
          <w:lang w:val="en-US" w:eastAsia="zh-CN"/>
        </w:rPr>
        <w:t>、统计数据</w:t>
      </w:r>
      <w:r>
        <w:rPr>
          <w:rFonts w:hint="default" w:ascii="Times New Roman" w:hAnsi="Times New Roman" w:eastAsia="方正仿宋简体" w:cs="Times New Roman"/>
          <w:b/>
          <w:color w:val="000000"/>
          <w:sz w:val="32"/>
          <w:szCs w:val="32"/>
          <w:lang w:val="en-US" w:eastAsia="zh-CN"/>
        </w:rPr>
        <w:t>等内容，持续做好政府信息公开工作。</w:t>
      </w:r>
    </w:p>
    <w:p>
      <w:pPr>
        <w:numPr>
          <w:ilvl w:val="0"/>
          <w:numId w:val="0"/>
        </w:numPr>
        <w:spacing w:line="560" w:lineRule="exact"/>
        <w:ind w:leftChars="0"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（四）平台建设方面</w:t>
      </w:r>
    </w:p>
    <w:p>
      <w:pPr>
        <w:numPr>
          <w:ilvl w:val="0"/>
          <w:numId w:val="0"/>
        </w:numPr>
        <w:spacing w:line="560" w:lineRule="exact"/>
        <w:ind w:firstLine="643" w:firstLineChars="200"/>
        <w:rPr>
          <w:rFonts w:hint="eastAsia" w:ascii="仿宋_GB2312" w:hAnsi="仿宋_GB2312" w:eastAsia="仿宋_GB2312" w:cs="仿宋_GB2312"/>
          <w:color w:val="FF0000"/>
          <w:sz w:val="32"/>
          <w:szCs w:val="32"/>
          <w:lang w:val="en-US" w:eastAsia="zh-CN"/>
        </w:rPr>
      </w:pPr>
      <w:r>
        <w:rPr>
          <w:rFonts w:hint="eastAsia" w:ascii="Times New Roman" w:hAnsi="Times New Roman" w:eastAsia="方正仿宋简体" w:cs="Times New Roman"/>
          <w:b/>
          <w:color w:val="000000"/>
          <w:sz w:val="32"/>
          <w:szCs w:val="32"/>
          <w:lang w:val="en-US" w:eastAsia="zh-CN"/>
        </w:rPr>
        <w:t>结合本单位工作职责及部分国家部委印发的基层目录规范指引，按照“公开依据、事项名称、事项内容、公开时限、公开方式、公开形式、公开主体”等要素，</w:t>
      </w:r>
      <w:r>
        <w:rPr>
          <w:rFonts w:hint="default" w:ascii="Times New Roman" w:hAnsi="Times New Roman" w:eastAsia="方正仿宋简体" w:cs="Times New Roman"/>
          <w:b/>
          <w:color w:val="000000"/>
          <w:sz w:val="32"/>
          <w:szCs w:val="32"/>
          <w:lang w:val="en-US" w:eastAsia="zh-CN"/>
        </w:rPr>
        <w:t>更新本单位政务公开目录内容，积极参加政府信息公开目录调整</w:t>
      </w:r>
      <w:r>
        <w:rPr>
          <w:rFonts w:hint="eastAsia" w:ascii="Times New Roman" w:hAnsi="Times New Roman"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进一步完善了政务公开有关机制，公开信息管理工作逐步规范化、制度化。</w:t>
      </w:r>
    </w:p>
    <w:p>
      <w:pPr>
        <w:numPr>
          <w:ilvl w:val="0"/>
          <w:numId w:val="0"/>
        </w:numPr>
        <w:spacing w:line="590" w:lineRule="exact"/>
        <w:ind w:leftChars="0" w:right="-105" w:rightChars="-50" w:firstLine="643" w:firstLineChars="200"/>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（五）监督保障方面</w:t>
      </w:r>
    </w:p>
    <w:p>
      <w:pPr>
        <w:numPr>
          <w:ilvl w:val="0"/>
          <w:numId w:val="0"/>
        </w:numPr>
        <w:spacing w:line="590" w:lineRule="exact"/>
        <w:ind w:right="-105" w:rightChars="-50" w:firstLine="643" w:firstLineChars="200"/>
        <w:rPr>
          <w:rFonts w:hint="eastAsia"/>
        </w:rPr>
      </w:pPr>
      <w:r>
        <w:rPr>
          <w:rFonts w:hint="eastAsia" w:ascii="Times New Roman" w:hAnsi="Times New Roman" w:eastAsia="方正仿宋简体" w:cs="Times New Roman"/>
          <w:b/>
          <w:color w:val="000000"/>
          <w:sz w:val="32"/>
          <w:szCs w:val="32"/>
          <w:lang w:val="en-US" w:eastAsia="zh-CN"/>
        </w:rPr>
        <w:t>2023</w:t>
      </w:r>
      <w:r>
        <w:rPr>
          <w:rFonts w:hint="default" w:ascii="Times New Roman" w:hAnsi="Times New Roman" w:eastAsia="方正仿宋简体" w:cs="Times New Roman"/>
          <w:b/>
          <w:color w:val="000000"/>
          <w:sz w:val="32"/>
          <w:szCs w:val="32"/>
          <w:lang w:val="en-US" w:eastAsia="zh-CN"/>
        </w:rPr>
        <w:t>年，我局认真贯彻落实《中华人民共和国政府信息公开条例》和太白湖新区管理委员会门户网站管理制度的要求，局</w:t>
      </w:r>
      <w:r>
        <w:rPr>
          <w:rFonts w:hint="eastAsia" w:ascii="Times New Roman" w:hAnsi="Times New Roman" w:eastAsia="方正仿宋简体" w:cs="Times New Roman"/>
          <w:b/>
          <w:color w:val="000000"/>
          <w:sz w:val="32"/>
          <w:szCs w:val="32"/>
          <w:lang w:val="en-US" w:eastAsia="zh-CN"/>
        </w:rPr>
        <w:t>综合科</w:t>
      </w:r>
      <w:r>
        <w:rPr>
          <w:rFonts w:hint="default" w:ascii="Times New Roman" w:hAnsi="Times New Roman" w:eastAsia="方正仿宋简体" w:cs="Times New Roman"/>
          <w:b/>
          <w:color w:val="000000"/>
          <w:sz w:val="32"/>
          <w:szCs w:val="32"/>
          <w:lang w:val="en-US" w:eastAsia="zh-CN"/>
        </w:rPr>
        <w:t>牵头负责政府信息公开工作，落实政府信息登记、办理、审核、归档等工作，</w:t>
      </w:r>
      <w:r>
        <w:rPr>
          <w:rFonts w:hint="eastAsia" w:ascii="Times New Roman" w:hAnsi="Times New Roman" w:eastAsia="方正仿宋简体" w:cs="Times New Roman"/>
          <w:b/>
          <w:color w:val="000000"/>
          <w:sz w:val="32"/>
          <w:szCs w:val="32"/>
          <w:lang w:val="en-US" w:eastAsia="zh-CN"/>
        </w:rPr>
        <w:t>并</w:t>
      </w:r>
      <w:r>
        <w:rPr>
          <w:rFonts w:hint="default" w:ascii="Times New Roman" w:hAnsi="Times New Roman" w:eastAsia="方正仿宋简体" w:cs="Times New Roman"/>
          <w:b/>
          <w:color w:val="000000"/>
          <w:sz w:val="32"/>
          <w:szCs w:val="32"/>
          <w:lang w:val="en-US" w:eastAsia="zh-CN"/>
        </w:rPr>
        <w:t>承担指导督促责任，保证</w:t>
      </w:r>
      <w:r>
        <w:rPr>
          <w:rFonts w:hint="default" w:ascii="Times New Roman" w:hAnsi="Times New Roman" w:eastAsia="方正仿宋简体" w:cs="Times New Roman"/>
          <w:b/>
          <w:color w:val="auto"/>
          <w:sz w:val="32"/>
          <w:szCs w:val="32"/>
          <w:lang w:val="en-US" w:eastAsia="zh-CN"/>
        </w:rPr>
        <w:t>信息公开工作落到实处</w:t>
      </w:r>
      <w:r>
        <w:rPr>
          <w:rFonts w:hint="eastAsia"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为我局政府信息公开工作提供制度保障，推进相关工作规范有序地开展。</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rightChars="0" w:firstLine="640" w:firstLineChars="200"/>
        <w:jc w:val="both"/>
        <w:rPr>
          <w:rFonts w:hint="eastAsia" w:ascii="方正黑体简体" w:hAnsi="方正黑体简体" w:eastAsia="方正黑体简体" w:cs="方正黑体简体"/>
          <w:b w:val="0"/>
          <w:bCs/>
          <w:i w:val="0"/>
          <w:caps w:val="0"/>
          <w:color w:val="auto"/>
          <w:spacing w:val="0"/>
          <w:sz w:val="32"/>
          <w:szCs w:val="32"/>
          <w:shd w:val="clear" w:fill="FFFFFF"/>
        </w:rPr>
      </w:pPr>
      <w:r>
        <w:rPr>
          <w:rFonts w:hint="eastAsia" w:ascii="方正黑体简体" w:hAnsi="方正黑体简体" w:eastAsia="方正黑体简体" w:cs="方正黑体简体"/>
          <w:b w:val="0"/>
          <w:bCs/>
          <w:i w:val="0"/>
          <w:caps w:val="0"/>
          <w:color w:val="auto"/>
          <w:spacing w:val="0"/>
          <w:sz w:val="32"/>
          <w:szCs w:val="32"/>
          <w:shd w:val="clear" w:fill="FFFFFF"/>
        </w:rPr>
        <w:t>主动公开政府信息情况</w:t>
      </w:r>
    </w:p>
    <w:tbl>
      <w:tblPr>
        <w:tblStyle w:val="4"/>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spacing w:line="300" w:lineRule="exact"/>
              <w:rPr>
                <w:rFonts w:ascii="方正仿宋简体" w:eastAsia="方正仿宋简体"/>
                <w:b/>
                <w:sz w:val="21"/>
                <w:szCs w:val="21"/>
              </w:rPr>
            </w:pPr>
            <w:r>
              <w:rPr>
                <w:rFonts w:hint="eastAsia" w:ascii="方正仿宋简体" w:eastAsia="方正仿宋简体"/>
                <w:b/>
                <w:sz w:val="21"/>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规章</w:t>
            </w:r>
          </w:p>
        </w:tc>
        <w:tc>
          <w:tcPr>
            <w:tcW w:w="2265" w:type="dxa"/>
            <w:tcBorders>
              <w:top w:val="nil"/>
              <w:left w:val="nil"/>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rightChars="0" w:firstLine="640" w:firstLineChars="200"/>
        <w:jc w:val="both"/>
        <w:rPr>
          <w:rFonts w:hint="eastAsia" w:ascii="方正黑体简体" w:hAnsi="方正黑体简体" w:eastAsia="方正黑体简体" w:cs="方正黑体简体"/>
          <w:b w:val="0"/>
          <w:bCs/>
          <w:i w:val="0"/>
          <w:caps w:val="0"/>
          <w:color w:val="auto"/>
          <w:spacing w:val="0"/>
          <w:sz w:val="32"/>
          <w:szCs w:val="32"/>
          <w:shd w:val="clear" w:fill="FFFFFF"/>
          <w:lang w:val="en-US" w:eastAsia="zh-CN"/>
        </w:rPr>
      </w:pPr>
      <w:r>
        <w:rPr>
          <w:rFonts w:hint="eastAsia" w:ascii="方正黑体简体" w:hAnsi="方正黑体简体" w:eastAsia="方正黑体简体" w:cs="方正黑体简体"/>
          <w:b w:val="0"/>
          <w:bCs/>
          <w:i w:val="0"/>
          <w:caps w:val="0"/>
          <w:color w:val="auto"/>
          <w:spacing w:val="0"/>
          <w:sz w:val="32"/>
          <w:szCs w:val="32"/>
          <w:shd w:val="clear" w:fill="FFFFFF"/>
          <w:lang w:val="en-US" w:eastAsia="zh-CN"/>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bl>
    <w:p>
      <w:pPr>
        <w:ind w:firstLine="640" w:firstLineChars="200"/>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pPr>
      <w:r>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bookmarkStart w:id="0" w:name="_GoBack"/>
            <w:r>
              <w:rPr>
                <w:rFonts w:hint="eastAsia" w:ascii="方正仿宋简体" w:hAnsi="宋体" w:eastAsia="方正仿宋简体" w:cs="宋体"/>
                <w:b/>
                <w:sz w:val="21"/>
                <w:szCs w:val="21"/>
                <w:lang w:bidi="ar"/>
              </w:rPr>
              <w:t>行政复议</w:t>
            </w:r>
          </w:p>
        </w:tc>
        <w:tc>
          <w:tcPr>
            <w:tcW w:w="5922" w:type="dxa"/>
            <w:gridSpan w:val="10"/>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结果维持</w:t>
            </w:r>
          </w:p>
        </w:tc>
        <w:tc>
          <w:tcPr>
            <w:tcW w:w="621"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p>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纠正</w:t>
            </w:r>
          </w:p>
        </w:tc>
        <w:tc>
          <w:tcPr>
            <w:tcW w:w="600"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其他</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结果</w:t>
            </w:r>
          </w:p>
        </w:tc>
        <w:tc>
          <w:tcPr>
            <w:tcW w:w="591"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尚未</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审结</w:t>
            </w:r>
          </w:p>
        </w:tc>
        <w:tc>
          <w:tcPr>
            <w:tcW w:w="461" w:type="dxa"/>
            <w:vMerge w:val="restart"/>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总计</w:t>
            </w:r>
          </w:p>
        </w:tc>
        <w:tc>
          <w:tcPr>
            <w:tcW w:w="3010" w:type="dxa"/>
            <w:gridSpan w:val="5"/>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未经复议直接起诉</w:t>
            </w:r>
          </w:p>
        </w:tc>
        <w:tc>
          <w:tcPr>
            <w:tcW w:w="2912" w:type="dxa"/>
            <w:gridSpan w:val="5"/>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621"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600"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591"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461" w:type="dxa"/>
            <w:vMerge w:val="continue"/>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p>
        </w:tc>
        <w:tc>
          <w:tcPr>
            <w:tcW w:w="649"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维持</w:t>
            </w:r>
          </w:p>
        </w:tc>
        <w:tc>
          <w:tcPr>
            <w:tcW w:w="649"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纠正</w:t>
            </w:r>
          </w:p>
        </w:tc>
        <w:tc>
          <w:tcPr>
            <w:tcW w:w="650"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其他</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结果</w:t>
            </w:r>
          </w:p>
        </w:tc>
        <w:tc>
          <w:tcPr>
            <w:tcW w:w="636"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尚未</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审结</w:t>
            </w:r>
          </w:p>
        </w:tc>
        <w:tc>
          <w:tcPr>
            <w:tcW w:w="426"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总计</w:t>
            </w:r>
          </w:p>
        </w:tc>
        <w:tc>
          <w:tcPr>
            <w:tcW w:w="650"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维持</w:t>
            </w:r>
          </w:p>
        </w:tc>
        <w:tc>
          <w:tcPr>
            <w:tcW w:w="650"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结果</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纠正</w:t>
            </w:r>
          </w:p>
        </w:tc>
        <w:tc>
          <w:tcPr>
            <w:tcW w:w="650"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其他</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结果</w:t>
            </w:r>
          </w:p>
        </w:tc>
        <w:tc>
          <w:tcPr>
            <w:tcW w:w="555"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尚未</w:t>
            </w:r>
            <w:r>
              <w:rPr>
                <w:rFonts w:hint="eastAsia" w:ascii="方正仿宋简体" w:hAnsi="宋体" w:eastAsia="方正仿宋简体" w:cs="宋体"/>
                <w:b/>
                <w:sz w:val="21"/>
                <w:szCs w:val="21"/>
                <w:lang w:bidi="ar"/>
              </w:rPr>
              <w:br w:type="textWrapping"/>
            </w:r>
            <w:r>
              <w:rPr>
                <w:rFonts w:hint="eastAsia" w:ascii="方正仿宋简体" w:hAnsi="宋体" w:eastAsia="方正仿宋简体" w:cs="宋体"/>
                <w:b/>
                <w:sz w:val="21"/>
                <w:szCs w:val="21"/>
                <w:lang w:bidi="ar"/>
              </w:rPr>
              <w:t>审结</w:t>
            </w:r>
          </w:p>
        </w:tc>
        <w:tc>
          <w:tcPr>
            <w:tcW w:w="407" w:type="dxa"/>
            <w:tcMar>
              <w:left w:w="108" w:type="dxa"/>
              <w:right w:w="108" w:type="dxa"/>
            </w:tcMar>
            <w:vAlign w:val="center"/>
          </w:tcPr>
          <w:p>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21"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600"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91"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461"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49"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49"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50"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36"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426"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c>
          <w:tcPr>
            <w:tcW w:w="650"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650"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650" w:type="dxa"/>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0 </w:t>
            </w:r>
          </w:p>
        </w:tc>
        <w:tc>
          <w:tcPr>
            <w:tcW w:w="555"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 0</w:t>
            </w:r>
          </w:p>
        </w:tc>
        <w:tc>
          <w:tcPr>
            <w:tcW w:w="407" w:type="dxa"/>
            <w:tcMar>
              <w:left w:w="108" w:type="dxa"/>
              <w:right w:w="108"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r>
      <w:bookmarkEnd w:id="0"/>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both"/>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pPr>
      <w:r>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both"/>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2023</w:t>
      </w:r>
      <w:r>
        <w:rPr>
          <w:rFonts w:hint="default" w:ascii="Times New Roman" w:hAnsi="Times New Roman" w:eastAsia="方正仿宋简体" w:cs="Times New Roman"/>
          <w:b/>
          <w:sz w:val="32"/>
          <w:szCs w:val="32"/>
        </w:rPr>
        <w:t>年，</w:t>
      </w:r>
      <w:r>
        <w:rPr>
          <w:rFonts w:hint="default" w:ascii="Times New Roman" w:hAnsi="Times New Roman" w:eastAsia="方正仿宋简体" w:cs="Times New Roman"/>
          <w:b/>
          <w:sz w:val="32"/>
          <w:szCs w:val="32"/>
          <w:lang w:eastAsia="zh-CN"/>
        </w:rPr>
        <w:t>区</w:t>
      </w:r>
      <w:r>
        <w:rPr>
          <w:rFonts w:hint="default" w:ascii="Times New Roman" w:hAnsi="Times New Roman" w:eastAsia="方正仿宋简体" w:cs="Times New Roman"/>
          <w:b/>
          <w:sz w:val="32"/>
          <w:szCs w:val="32"/>
        </w:rPr>
        <w:t>经济发展局</w:t>
      </w:r>
      <w:r>
        <w:rPr>
          <w:rFonts w:hint="eastAsia" w:ascii="Times New Roman" w:hAnsi="Times New Roman" w:eastAsia="方正仿宋简体" w:cs="Times New Roman"/>
          <w:b/>
          <w:sz w:val="32"/>
          <w:szCs w:val="32"/>
          <w:lang w:eastAsia="zh-CN"/>
        </w:rPr>
        <w:t>在区管委会的领导下，圆满完成各项工作任务，但在具体工作中仍存在一些问题和不足：一是信息公开主动性不足，某些信息更新还不够及时，相关科室没有及时主动进行信息公开时，工作人员未及时进行督促。二是</w:t>
      </w:r>
      <w:r>
        <w:rPr>
          <w:rFonts w:hint="default" w:ascii="Times New Roman" w:hAnsi="Times New Roman" w:eastAsia="方正仿宋简体" w:cs="Times New Roman"/>
          <w:b/>
          <w:sz w:val="32"/>
          <w:szCs w:val="32"/>
        </w:rPr>
        <w:t>政务信息公开深入意识不强，通知公告、</w:t>
      </w:r>
      <w:r>
        <w:rPr>
          <w:rFonts w:hint="default" w:ascii="Times New Roman" w:hAnsi="Times New Roman" w:eastAsia="方正仿宋简体" w:cs="Times New Roman"/>
          <w:b/>
          <w:sz w:val="32"/>
          <w:szCs w:val="32"/>
          <w:lang w:eastAsia="zh-CN"/>
        </w:rPr>
        <w:t>财政预决算</w:t>
      </w:r>
      <w:r>
        <w:rPr>
          <w:rFonts w:hint="default" w:ascii="Times New Roman" w:hAnsi="Times New Roman" w:eastAsia="方正仿宋简体" w:cs="Times New Roman"/>
          <w:b/>
          <w:sz w:val="32"/>
          <w:szCs w:val="32"/>
        </w:rPr>
        <w:t>等常规信息发布较多，深入挖掘公开信息较少。</w:t>
      </w:r>
      <w:r>
        <w:rPr>
          <w:rFonts w:hint="eastAsia" w:ascii="Times New Roman" w:hAnsi="Times New Roman" w:eastAsia="方正仿宋简体" w:cs="Times New Roman"/>
          <w:b/>
          <w:sz w:val="32"/>
          <w:szCs w:val="32"/>
          <w:lang w:eastAsia="zh-CN"/>
        </w:rPr>
        <w:t>在下一步工作中，坚持统筹谋划，夯实政务公开基础，不断提升机关自身建设能力进一步加强对政府网站的维护，及时主动公开各类应公开的信息，加强人员培训学习，确保政府信息公开工作高质高效完成。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both"/>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pPr>
      <w:r>
        <w:rPr>
          <w:rFonts w:hint="eastAsia" w:ascii="方正黑体简体" w:hAnsi="方正黑体简体" w:eastAsia="方正黑体简体" w:cs="方正黑体简体"/>
          <w:b w:val="0"/>
          <w:bCs/>
          <w:i w:val="0"/>
          <w:caps w:val="0"/>
          <w:color w:val="auto"/>
          <w:spacing w:val="0"/>
          <w:kern w:val="0"/>
          <w:sz w:val="32"/>
          <w:szCs w:val="32"/>
          <w:shd w:val="clear" w:fill="FFFFFF"/>
          <w:lang w:val="en-US" w:eastAsia="zh-CN" w:bidi="ar"/>
        </w:rPr>
        <w:t>六、其他需要报告的事项</w:t>
      </w: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（一）依据《政府信息公开信息处理费管理办法》收取信息处理费的情况</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eastAsia="zh-CN"/>
        </w:rPr>
        <w:t>区经济发展局</w:t>
      </w:r>
      <w:r>
        <w:rPr>
          <w:rFonts w:hint="default" w:ascii="Times New Roman" w:hAnsi="Times New Roman" w:eastAsia="方正仿宋简体" w:cs="Times New Roman"/>
          <w:b/>
          <w:sz w:val="32"/>
          <w:szCs w:val="32"/>
        </w:rPr>
        <w:t>全年未收取信息处理费。</w:t>
      </w:r>
    </w:p>
    <w:p>
      <w:pPr>
        <w:numPr>
          <w:ilvl w:val="0"/>
          <w:numId w:val="2"/>
        </w:num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落实上级年度政务公开工作要点情况</w:t>
      </w:r>
    </w:p>
    <w:p>
      <w:pPr>
        <w:pStyle w:val="2"/>
        <w:numPr>
          <w:ilvl w:val="0"/>
          <w:numId w:val="0"/>
        </w:numPr>
        <w:ind w:firstLine="643" w:firstLineChars="200"/>
        <w:rPr>
          <w:rFonts w:hint="eastAsia" w:ascii="Times New Roman" w:hAnsi="Times New Roman" w:eastAsia="方正仿宋简体" w:cs="Times New Roman"/>
          <w:b/>
          <w:kern w:val="0"/>
          <w:sz w:val="32"/>
          <w:szCs w:val="32"/>
          <w:lang w:val="en-US" w:eastAsia="zh-CN" w:bidi="ar"/>
        </w:rPr>
      </w:pPr>
      <w:r>
        <w:rPr>
          <w:rFonts w:hint="eastAsia" w:ascii="Times New Roman" w:hAnsi="Times New Roman" w:eastAsia="方正仿宋简体" w:cs="Times New Roman"/>
          <w:b/>
          <w:kern w:val="0"/>
          <w:sz w:val="32"/>
          <w:szCs w:val="32"/>
          <w:lang w:val="en-US" w:eastAsia="zh-CN" w:bidi="ar"/>
        </w:rPr>
        <w:t>按照区管委会政府信息公开指南、目录逐项落实，确保政府信息公开工作有效运作，在安全保密的基础上，全面及时公布经济发展工作的各项信息，使公众了解经济发展工作动态。</w:t>
      </w:r>
    </w:p>
    <w:p>
      <w:pPr>
        <w:pStyle w:val="2"/>
        <w:numPr>
          <w:ilvl w:val="0"/>
          <w:numId w:val="0"/>
        </w:numPr>
        <w:ind w:leftChars="200"/>
        <w:rPr>
          <w:rFonts w:hint="eastAsia"/>
          <w:lang w:eastAsia="zh-CN"/>
        </w:rPr>
      </w:pPr>
      <w:r>
        <w:rPr>
          <w:rFonts w:hint="eastAsia" w:ascii="Times New Roman" w:hAnsi="Times New Roman" w:eastAsia="方正仿宋简体" w:cs="Times New Roman"/>
          <w:b/>
          <w:sz w:val="32"/>
          <w:szCs w:val="32"/>
          <w:lang w:eastAsia="zh-CN"/>
        </w:rPr>
        <w:t>（三）人大代表建议和政协提案办理结果公开情况</w:t>
      </w:r>
    </w:p>
    <w:p>
      <w:pPr>
        <w:pStyle w:val="2"/>
        <w:numPr>
          <w:ilvl w:val="0"/>
          <w:numId w:val="0"/>
        </w:numPr>
        <w:ind w:firstLine="643" w:firstLineChars="200"/>
        <w:rPr>
          <w:rFonts w:hint="eastAsia"/>
          <w:lang w:eastAsia="zh-CN"/>
        </w:rPr>
      </w:pPr>
      <w:r>
        <w:rPr>
          <w:rFonts w:hint="default" w:ascii="Times New Roman" w:hAnsi="Times New Roman" w:eastAsia="方正仿宋简体" w:cs="Times New Roman"/>
          <w:b/>
          <w:sz w:val="32"/>
          <w:szCs w:val="32"/>
          <w:lang w:eastAsia="zh-CN"/>
        </w:rPr>
        <w:t>区经济发展局</w:t>
      </w:r>
      <w:r>
        <w:rPr>
          <w:rFonts w:hint="eastAsia" w:ascii="Times New Roman" w:hAnsi="Times New Roman" w:eastAsia="方正仿宋简体" w:cs="Times New Roman"/>
          <w:b/>
          <w:sz w:val="32"/>
          <w:szCs w:val="32"/>
          <w:lang w:eastAsia="zh-CN"/>
        </w:rPr>
        <w:t>无人大代表建议和政协提案办理情况。</w:t>
      </w:r>
    </w:p>
    <w:p>
      <w:pPr>
        <w:numPr>
          <w:ilvl w:val="0"/>
          <w:numId w:val="0"/>
        </w:numPr>
        <w:ind w:left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（四）年度政务公开工作创新情况</w:t>
      </w:r>
    </w:p>
    <w:p>
      <w:pPr>
        <w:pStyle w:val="2"/>
        <w:numPr>
          <w:ilvl w:val="0"/>
          <w:numId w:val="0"/>
        </w:numPr>
        <w:ind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进一步完善政务公开工作制度，明确政务公开工作的主要目标、基本要求、工作任务和保护措施，进一步规范公开目录，完善公开方式，做到领导力度、目标责任、监督检查“三到位”，确保各公开栏目信息有据可循，有力保障政务公开工作措施的有效落实和高效运转。</w:t>
      </w:r>
    </w:p>
    <w:p>
      <w:pPr>
        <w:pStyle w:val="2"/>
        <w:numPr>
          <w:ilvl w:val="0"/>
          <w:numId w:val="0"/>
        </w:numPr>
        <w:ind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eastAsia="zh-CN"/>
        </w:rPr>
        <w:t>（五）</w:t>
      </w:r>
      <w:r>
        <w:rPr>
          <w:rFonts w:hint="eastAsia" w:ascii="方正仿宋简体" w:eastAsia="方正仿宋简体"/>
          <w:b/>
          <w:sz w:val="32"/>
          <w:szCs w:val="32"/>
        </w:rPr>
        <w:t>本行政机关政府信息公开工作年度报告数据统计需要说明的事项</w:t>
      </w:r>
    </w:p>
    <w:p>
      <w:pPr>
        <w:ind w:firstLine="643" w:firstLineChars="200"/>
        <w:rPr>
          <w:rFonts w:hint="eastAsia" w:eastAsia="方正仿宋简体"/>
          <w:lang w:eastAsia="zh-CN"/>
        </w:rPr>
      </w:pPr>
      <w:r>
        <w:rPr>
          <w:rFonts w:hint="default" w:ascii="Times New Roman" w:hAnsi="Times New Roman" w:eastAsia="方正仿宋简体" w:cs="Times New Roman"/>
          <w:b/>
          <w:sz w:val="32"/>
          <w:szCs w:val="32"/>
          <w:lang w:eastAsia="zh-CN"/>
        </w:rPr>
        <w:t>区经济发展局</w:t>
      </w:r>
      <w:r>
        <w:rPr>
          <w:rFonts w:hint="eastAsia" w:ascii="Times New Roman" w:hAnsi="Times New Roman" w:eastAsia="方正仿宋简体" w:cs="Times New Roman"/>
          <w:b/>
          <w:sz w:val="32"/>
          <w:szCs w:val="32"/>
          <w:lang w:eastAsia="zh-CN"/>
        </w:rPr>
        <w:t>无</w:t>
      </w:r>
      <w:r>
        <w:rPr>
          <w:rFonts w:hint="eastAsia" w:ascii="方正仿宋简体" w:eastAsia="方正仿宋简体"/>
          <w:b/>
          <w:sz w:val="32"/>
          <w:szCs w:val="32"/>
        </w:rPr>
        <w:t>政府信息公开工作年度报告数据统计需要说明的事项</w:t>
      </w:r>
      <w:r>
        <w:rPr>
          <w:rFonts w:hint="eastAsia" w:ascii="方正仿宋简体" w:eastAsia="方正仿宋简体"/>
          <w:b/>
          <w:sz w:val="32"/>
          <w:szCs w:val="32"/>
          <w:lang w:eastAsia="zh-CN"/>
        </w:rPr>
        <w:t>。</w:t>
      </w:r>
    </w:p>
    <w:p>
      <w:pPr>
        <w:numPr>
          <w:ilvl w:val="0"/>
          <w:numId w:val="0"/>
        </w:numPr>
        <w:spacing w:line="590" w:lineRule="exact"/>
        <w:ind w:right="-105"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eastAsia="zh-CN"/>
        </w:rPr>
        <w:t>（六）</w:t>
      </w:r>
      <w:r>
        <w:rPr>
          <w:rFonts w:hint="eastAsia" w:ascii="方正仿宋简体" w:eastAsia="方正仿宋简体"/>
          <w:b/>
          <w:sz w:val="32"/>
          <w:szCs w:val="32"/>
        </w:rPr>
        <w:t>本行政机关认为需要报告的其他事项</w:t>
      </w:r>
    </w:p>
    <w:p>
      <w:pPr>
        <w:spacing w:line="590" w:lineRule="exact"/>
        <w:ind w:right="-105" w:rightChars="-50" w:firstLine="643" w:firstLineChars="200"/>
      </w:pPr>
      <w:r>
        <w:rPr>
          <w:rFonts w:hint="default" w:ascii="Times New Roman" w:hAnsi="Times New Roman" w:eastAsia="方正仿宋简体" w:cs="Times New Roman"/>
          <w:b/>
          <w:sz w:val="32"/>
          <w:szCs w:val="32"/>
          <w:lang w:eastAsia="zh-CN"/>
        </w:rPr>
        <w:t>区经济发展局</w:t>
      </w:r>
      <w:r>
        <w:rPr>
          <w:rFonts w:hint="default" w:ascii="Times New Roman" w:hAnsi="Times New Roman" w:eastAsia="方正仿宋简体" w:cs="Times New Roman"/>
          <w:b/>
          <w:sz w:val="32"/>
          <w:szCs w:val="32"/>
        </w:rPr>
        <w:t>无其他需报告事项。</w:t>
      </w:r>
    </w:p>
    <w:p>
      <w:pPr>
        <w:numPr>
          <w:ilvl w:val="0"/>
          <w:numId w:val="0"/>
        </w:numPr>
        <w:spacing w:line="590" w:lineRule="exact"/>
        <w:ind w:leftChars="0" w:right="-105"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eastAsia="zh-CN"/>
        </w:rPr>
        <w:t>（七）</w:t>
      </w:r>
      <w:r>
        <w:rPr>
          <w:rFonts w:hint="eastAsia" w:ascii="方正仿宋简体" w:eastAsia="方正仿宋简体"/>
          <w:b/>
          <w:sz w:val="32"/>
          <w:szCs w:val="32"/>
        </w:rPr>
        <w:t>其他有关文件专门要求通过政府信息公开工作年度报告予以报告的事项</w:t>
      </w:r>
    </w:p>
    <w:p>
      <w:pPr>
        <w:pStyle w:val="2"/>
        <w:numPr>
          <w:ilvl w:val="0"/>
          <w:numId w:val="0"/>
        </w:numPr>
        <w:ind w:firstLine="643" w:firstLineChars="200"/>
        <w:rPr>
          <w:rFonts w:hint="eastAsia" w:eastAsia="方正仿宋简体"/>
          <w:lang w:eastAsia="zh-CN"/>
        </w:rPr>
      </w:pPr>
      <w:r>
        <w:rPr>
          <w:rFonts w:hint="default" w:ascii="Times New Roman" w:hAnsi="Times New Roman" w:eastAsia="方正仿宋简体" w:cs="Times New Roman"/>
          <w:b/>
          <w:sz w:val="32"/>
          <w:szCs w:val="32"/>
          <w:lang w:eastAsia="zh-CN"/>
        </w:rPr>
        <w:t>区经济发展局</w:t>
      </w:r>
      <w:r>
        <w:rPr>
          <w:rFonts w:hint="default" w:ascii="Times New Roman" w:hAnsi="Times New Roman" w:eastAsia="方正仿宋简体" w:cs="Times New Roman"/>
          <w:b/>
          <w:sz w:val="32"/>
          <w:szCs w:val="32"/>
        </w:rPr>
        <w:t>无</w:t>
      </w:r>
      <w:r>
        <w:rPr>
          <w:rFonts w:hint="eastAsia" w:ascii="方正仿宋简体" w:eastAsia="方正仿宋简体"/>
          <w:b/>
          <w:sz w:val="32"/>
          <w:szCs w:val="32"/>
        </w:rPr>
        <w:t>其他有关文件专门要求通过政府信息公开工作年度报告予以报告的事项</w:t>
      </w:r>
      <w:r>
        <w:rPr>
          <w:rFonts w:hint="eastAsia" w:ascii="方正仿宋简体" w:eastAsia="方正仿宋简体"/>
          <w:b/>
          <w:sz w:val="32"/>
          <w:szCs w:val="32"/>
          <w:lang w:eastAsia="zh-CN"/>
        </w:rPr>
        <w:t>。</w:t>
      </w:r>
    </w:p>
    <w:p>
      <w:pPr>
        <w:pStyle w:val="2"/>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PMincho">
    <w:panose1 w:val="020206000402050803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3D631"/>
    <w:multiLevelType w:val="singleLevel"/>
    <w:tmpl w:val="D8D3D631"/>
    <w:lvl w:ilvl="0" w:tentative="0">
      <w:start w:val="2"/>
      <w:numFmt w:val="chineseCounting"/>
      <w:suff w:val="nothing"/>
      <w:lvlText w:val="%1、"/>
      <w:lvlJc w:val="left"/>
      <w:rPr>
        <w:rFonts w:hint="eastAsia"/>
      </w:rPr>
    </w:lvl>
  </w:abstractNum>
  <w:abstractNum w:abstractNumId="1">
    <w:nsid w:val="28C27319"/>
    <w:multiLevelType w:val="singleLevel"/>
    <w:tmpl w:val="28C2731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MjIyOTFlNTU2ZDRiZGJiMjdkNDdmNjAzNjllNzYifQ=="/>
  </w:docVars>
  <w:rsids>
    <w:rsidRoot w:val="11AF18C8"/>
    <w:rsid w:val="013C0FF7"/>
    <w:rsid w:val="08B62045"/>
    <w:rsid w:val="0A600010"/>
    <w:rsid w:val="10E511E6"/>
    <w:rsid w:val="11943F45"/>
    <w:rsid w:val="11AF18C8"/>
    <w:rsid w:val="11D562EA"/>
    <w:rsid w:val="12903B38"/>
    <w:rsid w:val="1A6A77C7"/>
    <w:rsid w:val="1E27481D"/>
    <w:rsid w:val="20E8680C"/>
    <w:rsid w:val="2AB35EF7"/>
    <w:rsid w:val="32633FC7"/>
    <w:rsid w:val="33D4102D"/>
    <w:rsid w:val="3795731B"/>
    <w:rsid w:val="38BC7608"/>
    <w:rsid w:val="3A342D09"/>
    <w:rsid w:val="42543447"/>
    <w:rsid w:val="4DD23507"/>
    <w:rsid w:val="4FAF4286"/>
    <w:rsid w:val="5A8B212E"/>
    <w:rsid w:val="66CF63DE"/>
    <w:rsid w:val="6A563A46"/>
    <w:rsid w:val="71062461"/>
    <w:rsid w:val="72520CCC"/>
    <w:rsid w:val="7718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paragraph" w:customStyle="1" w:styleId="7">
    <w:name w:val="抬头"/>
    <w:autoRedefine/>
    <w:qFormat/>
    <w:uiPriority w:val="0"/>
    <w:pPr>
      <w:spacing w:after="50" w:afterLines="50"/>
      <w:ind w:firstLine="0" w:firstLineChars="0"/>
      <w:jc w:val="center"/>
    </w:pPr>
    <w:rPr>
      <w:rFonts w:hint="eastAsia" w:ascii="Times New Roman" w:hAnsi="Times New Roman" w:eastAsia="方正小标宋简体" w:cstheme="minorBidi"/>
      <w:b/>
      <w:bCs/>
      <w:sz w:val="44"/>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30005;&#23376;&#25919;&#21153;\&#25919;&#21153;&#20844;&#24320;\2023&#24180;&#25919;&#24220;&#20449;&#24687;&#20844;&#24320;&#24037;&#20316;&#24180;&#24230;&#25253;&#21578;\&#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'[新建 XLS 工作表.xls]Sheet1'!$B$1</c:f>
              <c:strCache>
                <c:ptCount val="1"/>
                <c:pt idx="0">
                  <c:v>数量（条）</c:v>
                </c:pt>
              </c:strCache>
            </c:strRef>
          </c:tx>
          <c:spPr>
            <a:solidFill>
              <a:schemeClr val="accent1"/>
            </a:solidFill>
            <a:ln>
              <a:noFill/>
            </a:ln>
            <a:effectLst/>
          </c:spPr>
          <c:invertIfNegative val="0"/>
          <c:dLbls>
            <c:delete val="1"/>
          </c:dLbls>
          <c:cat>
            <c:strRef>
              <c:f>'[新建 XLS 工作表.xls]Sheet1'!$A$2:$A$11</c:f>
              <c:strCache>
                <c:ptCount val="10"/>
                <c:pt idx="0">
                  <c:v>图文解读</c:v>
                </c:pt>
                <c:pt idx="1">
                  <c:v>财政信息</c:v>
                </c:pt>
                <c:pt idx="2">
                  <c:v>价格与收费栏目</c:v>
                </c:pt>
                <c:pt idx="3">
                  <c:v>扩大有效投资栏目</c:v>
                </c:pt>
                <c:pt idx="4">
                  <c:v>重点领域信息公开</c:v>
                </c:pt>
                <c:pt idx="5">
                  <c:v>基层政务公开标准化规范化工作</c:v>
                </c:pt>
                <c:pt idx="6">
                  <c:v>行政权力</c:v>
                </c:pt>
                <c:pt idx="7">
                  <c:v>统计信息</c:v>
                </c:pt>
                <c:pt idx="8">
                  <c:v>法规文件</c:v>
                </c:pt>
                <c:pt idx="9">
                  <c:v>动公开基本目录</c:v>
                </c:pt>
              </c:strCache>
            </c:strRef>
          </c:cat>
          <c:val>
            <c:numRef>
              <c:f>'[新建 XLS 工作表.xls]Sheet1'!$B$2:$B$11</c:f>
              <c:numCache>
                <c:formatCode>General</c:formatCode>
                <c:ptCount val="10"/>
                <c:pt idx="0">
                  <c:v>5</c:v>
                </c:pt>
                <c:pt idx="1">
                  <c:v>2</c:v>
                </c:pt>
                <c:pt idx="2">
                  <c:v>1</c:v>
                </c:pt>
                <c:pt idx="3">
                  <c:v>3</c:v>
                </c:pt>
                <c:pt idx="4">
                  <c:v>1</c:v>
                </c:pt>
                <c:pt idx="5">
                  <c:v>2</c:v>
                </c:pt>
                <c:pt idx="6">
                  <c:v>3</c:v>
                </c:pt>
                <c:pt idx="7">
                  <c:v>1</c:v>
                </c:pt>
                <c:pt idx="8">
                  <c:v>8</c:v>
                </c:pt>
                <c:pt idx="9">
                  <c:v>1</c:v>
                </c:pt>
              </c:numCache>
            </c:numRef>
          </c:val>
        </c:ser>
        <c:dLbls>
          <c:showLegendKey val="0"/>
          <c:showVal val="0"/>
          <c:showCatName val="0"/>
          <c:showSerName val="0"/>
          <c:showPercent val="0"/>
          <c:showBubbleSize val="0"/>
        </c:dLbls>
        <c:gapWidth val="140"/>
        <c:overlap val="-40"/>
        <c:axId val="368936312"/>
        <c:axId val="863888636"/>
      </c:barChart>
      <c:catAx>
        <c:axId val="368936312"/>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888636"/>
        <c:crosses val="autoZero"/>
        <c:auto val="1"/>
        <c:lblAlgn val="ctr"/>
        <c:lblOffset val="100"/>
        <c:noMultiLvlLbl val="0"/>
      </c:catAx>
      <c:valAx>
        <c:axId val="863888636"/>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8936312"/>
        <c:crosses val="autoZero"/>
        <c:crossBetween val="between"/>
      </c:valAx>
      <c:spPr>
        <a:noFill/>
        <a:ln>
          <a:noFill/>
        </a:ln>
        <a:effectLst/>
      </c:spPr>
    </c:plotArea>
    <c:legend>
      <c:legendPos val="b"/>
      <c:layout>
        <c:manualLayout>
          <c:xMode val="edge"/>
          <c:yMode val="edge"/>
          <c:x val="0.824078947368421"/>
          <c:y val="0.88472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2922</Words>
  <Characters>3006</Characters>
  <Lines>0</Lines>
  <Paragraphs>0</Paragraphs>
  <TotalTime>91</TotalTime>
  <ScaleCrop>false</ScaleCrop>
  <LinksUpToDate>false</LinksUpToDate>
  <CharactersWithSpaces>3175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蓝蓝蓝懒</cp:lastModifiedBy>
  <cp:lastPrinted>2023-01-16T09:08:00Z</cp:lastPrinted>
  <dcterms:modified xsi:type="dcterms:W3CDTF">2024-03-13T06:38:58Z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DCDC6C84FEE94B25AAFAD7B711EB96DA</vt:lpwstr>
  </property>
</Properties>
</file>