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outlineLvl w:val="0"/>
        <w:rPr>
          <w:rFonts w:hint="eastAsia" w:ascii="方正小标宋简体" w:hAnsi="方正小标宋简体" w:eastAsia="方正小标宋简体" w:cs="方正小标宋简体"/>
          <w:b/>
          <w:color w:val="000000"/>
          <w:sz w:val="44"/>
          <w:szCs w:val="44"/>
          <w:lang w:eastAsia="zh-CN"/>
        </w:rPr>
      </w:pPr>
      <w:r>
        <w:rPr>
          <w:rFonts w:hint="eastAsia" w:ascii="方正小标宋简体" w:hAnsi="方正小标宋简体" w:eastAsia="方正小标宋简体" w:cs="方正小标宋简体"/>
          <w:b/>
          <w:color w:val="000000"/>
          <w:sz w:val="44"/>
          <w:szCs w:val="44"/>
          <w:lang w:eastAsia="zh-CN"/>
        </w:rPr>
        <w:t>济宁北湖省级旅游度假区财政金融局</w:t>
      </w:r>
    </w:p>
    <w:p>
      <w:pPr>
        <w:spacing w:line="590" w:lineRule="exact"/>
        <w:ind w:right="-105" w:rightChars="-50"/>
        <w:jc w:val="center"/>
        <w:outlineLvl w:val="0"/>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202</w:t>
      </w:r>
      <w:r>
        <w:rPr>
          <w:rFonts w:hint="eastAsia" w:ascii="方正小标宋简体" w:hAnsi="方正小标宋简体" w:eastAsia="方正小标宋简体" w:cs="方正小标宋简体"/>
          <w:b/>
          <w:color w:val="000000"/>
          <w:sz w:val="44"/>
          <w:szCs w:val="44"/>
          <w:lang w:eastAsia="zh-CN"/>
        </w:rPr>
        <w:t>3</w:t>
      </w:r>
      <w:r>
        <w:rPr>
          <w:rFonts w:hint="eastAsia" w:ascii="方正小标宋简体" w:hAnsi="方正小标宋简体" w:eastAsia="方正小标宋简体" w:cs="方正小标宋简体"/>
          <w:b/>
          <w:color w:val="000000"/>
          <w:sz w:val="44"/>
          <w:szCs w:val="44"/>
        </w:rPr>
        <w:t>年政府信息公开工作年度报告</w:t>
      </w:r>
    </w:p>
    <w:p>
      <w:pPr>
        <w:spacing w:line="600" w:lineRule="exact"/>
        <w:ind w:firstLine="640" w:firstLineChars="200"/>
        <w:rPr>
          <w:rFonts w:hint="eastAsia" w:ascii="方正小标宋_GBK" w:hAnsi="方正小标宋_GBK" w:eastAsia="方正小标宋_GBK" w:cs="方正小标宋_GBK"/>
          <w:sz w:val="32"/>
          <w:szCs w:val="32"/>
        </w:rPr>
      </w:pPr>
    </w:p>
    <w:p>
      <w:pPr>
        <w:spacing w:line="590" w:lineRule="exact"/>
        <w:ind w:right="-105" w:rightChars="-50" w:firstLine="562"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28"/>
          <w:szCs w:val="28"/>
          <w:lang w:val="en-US" w:eastAsia="zh-CN"/>
        </w:rPr>
        <w:t>本报告由济宁北湖省级旅游度假区财政金融局按照《中华人民共和国政府信息公开条例》（以下简称《条例》）和《中华人民共和国政府信息公开工作年度报告格式》（国办公开办函〔2021〕30号）相关文件要求，我局编制了2023年政府信息公开工作年度报告，本年度报告中所列数据的统计期限自2023年1月1日起至12月31日止。现将2023年我局开展政府信息公开工作情况报告如下：</w:t>
      </w:r>
    </w:p>
    <w:p>
      <w:pPr>
        <w:spacing w:line="600" w:lineRule="exact"/>
        <w:ind w:firstLine="640"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一、报告内容</w:t>
      </w:r>
    </w:p>
    <w:p>
      <w:pPr>
        <w:ind w:firstLine="562" w:firstLineChars="200"/>
        <w:jc w:val="left"/>
        <w:rPr>
          <w:rFonts w:hint="eastAsia" w:ascii="方正小标宋_GBK" w:hAnsi="方正小标宋_GBK" w:eastAsia="方正小标宋_GBK" w:cs="方正小标宋_GBK"/>
          <w:b/>
          <w:bCs/>
          <w:sz w:val="28"/>
          <w:szCs w:val="28"/>
          <w:lang w:val="en-US" w:eastAsia="zh-CN"/>
        </w:rPr>
      </w:pPr>
      <w:r>
        <w:rPr>
          <w:rFonts w:hint="eastAsia" w:ascii="方正仿宋简体" w:hAnsi="方正仿宋简体" w:eastAsia="方正仿宋简体" w:cs="方正仿宋简体"/>
          <w:b/>
          <w:bCs/>
          <w:sz w:val="28"/>
          <w:szCs w:val="28"/>
          <w:lang w:val="en-US" w:eastAsia="zh-CN"/>
        </w:rPr>
        <w:t>年度报告内容，按照《中华人民共和国政府信息公开条例》第五十条的规定确定，本报告内容包括总体情况、主动公开政府信息情况、收到和处理政府信息公开申请情况、政府信息公开行政复议和行政诉讼情况、存在的主要问题及改进情况、其他需要报告的事项等六部分内容。</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（一）总体情况</w:t>
      </w:r>
    </w:p>
    <w:p>
      <w:pPr>
        <w:ind w:firstLine="562" w:firstLine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28"/>
          <w:szCs w:val="28"/>
          <w:lang w:val="en-US" w:eastAsia="zh-CN"/>
        </w:rPr>
        <w:t>2023年，济宁北湖省级旅游度假区财政金融局坚持以习近平新时代中国特色社会主义思想为指导，全面贯彻党的二十大精神，严格按照济宁太白湖新区管委会要求，全面贯彻党的二十大精神，深入贯彻落实《中华人民共和国政府信息公开条例》及省、市政府关于全面推进政务公开的决策部署，结合工作实际编制了《济宁北湖省级旅游度假区财政金融局信息公开指南（2023年12月修订版）》《2023年济宁北湖省级旅游度假区财政金融局主动公开基本目录》《2023年济宁太白湖新区财政预决算领域基层政务公开标准目录》，着力提升工作质量和效率，为社会公众提供全面、准确、及时的政府信息服务。</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（二）行政机关主动公开政府信息情况</w:t>
      </w:r>
    </w:p>
    <w:p>
      <w:pPr>
        <w:ind w:firstLine="562" w:firstLineChars="2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根据《山东省政府信息主动公开基本目录》等文件要求，区财政分局全面对照2023年政务公开重点工作分工进行落实，完善我局政务公开基本目录，更新基层政务公开标准目录。主动发布与我局工作相关信息 64 条。</w:t>
      </w:r>
    </w:p>
    <w:p>
      <w:pPr>
        <w:ind w:firstLine="420" w:firstLineChars="0"/>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t>表1</w:t>
      </w:r>
      <w:r>
        <w:rPr>
          <w:rFonts w:hint="eastAsia" w:ascii="方正小标宋_GBK" w:hAnsi="方正小标宋_GBK" w:eastAsia="方正小标宋_GBK" w:cs="方正小标宋_GBK"/>
          <w:sz w:val="28"/>
          <w:szCs w:val="28"/>
        </w:rPr>
        <w:t xml:space="preserve"> 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4"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r>
        <w:tblPrEx>
          <w:tblCellMar>
            <w:top w:w="0" w:type="dxa"/>
            <w:left w:w="108" w:type="dxa"/>
            <w:bottom w:w="0" w:type="dxa"/>
            <w:right w:w="108" w:type="dxa"/>
          </w:tblCellMar>
        </w:tblPrEx>
        <w:trPr>
          <w:trHeight w:val="788"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行政强制</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第二十条第（八）项</w:t>
            </w:r>
          </w:p>
        </w:tc>
      </w:tr>
      <w:tr>
        <w:tblPrEx>
          <w:tblCellMar>
            <w:top w:w="0" w:type="dxa"/>
            <w:left w:w="108" w:type="dxa"/>
            <w:bottom w:w="0" w:type="dxa"/>
            <w:right w:w="108" w:type="dxa"/>
          </w:tblCellMar>
        </w:tblPrEx>
        <w:trPr>
          <w:trHeight w:val="489"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rPr>
            </w:pPr>
            <w:r>
              <w:rPr>
                <w:rFonts w:hint="eastAsia" w:ascii="方正小标宋_GBK" w:hAnsi="方正小标宋_GBK" w:eastAsia="方正小标宋_GBK" w:cs="方正小标宋_GBK"/>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方正小标宋_GBK" w:hAnsi="方正小标宋_GBK" w:eastAsia="方正小标宋_GBK" w:cs="方正小标宋_GBK"/>
                <w:color w:val="000000"/>
                <w:kern w:val="0"/>
                <w:szCs w:val="21"/>
                <w:lang w:val="en-US" w:eastAsia="zh-CN"/>
              </w:rPr>
            </w:pPr>
            <w:r>
              <w:rPr>
                <w:rFonts w:hint="eastAsia" w:ascii="方正小标宋_GBK" w:hAnsi="方正小标宋_GBK" w:eastAsia="方正小标宋_GBK" w:cs="方正小标宋_GBK"/>
                <w:color w:val="000000"/>
                <w:kern w:val="0"/>
                <w:szCs w:val="21"/>
              </w:rPr>
              <w:t>　</w:t>
            </w:r>
            <w:r>
              <w:rPr>
                <w:rFonts w:hint="eastAsia" w:ascii="方正小标宋_GBK" w:hAnsi="方正小标宋_GBK" w:eastAsia="方正小标宋_GBK" w:cs="方正小标宋_GBK"/>
                <w:color w:val="000000"/>
                <w:kern w:val="0"/>
                <w:szCs w:val="21"/>
                <w:lang w:val="en-US" w:eastAsia="zh-CN"/>
              </w:rPr>
              <w:t>0</w:t>
            </w:r>
          </w:p>
        </w:tc>
      </w:tr>
    </w:tbl>
    <w:p>
      <w:pPr>
        <w:spacing w:line="600" w:lineRule="exact"/>
        <w:ind w:firstLine="643" w:firstLineChars="200"/>
        <w:rPr>
          <w:rFonts w:hint="eastAsia" w:ascii="方正小标宋_GBK" w:hAnsi="方正小标宋_GBK" w:eastAsia="方正小标宋_GBK" w:cs="方正小标宋_GBK"/>
          <w:b/>
          <w:bCs/>
          <w:sz w:val="32"/>
          <w:szCs w:val="32"/>
        </w:rPr>
      </w:pPr>
      <w:r>
        <w:rPr>
          <w:rFonts w:hint="eastAsia" w:ascii="方正楷体简体" w:hAnsi="方正楷体简体" w:eastAsia="方正楷体简体" w:cs="方正楷体简体"/>
          <w:b/>
          <w:bCs/>
          <w:sz w:val="32"/>
          <w:szCs w:val="32"/>
        </w:rPr>
        <w:t>（三）行政机关收到和处理政府信息公开申请情况</w:t>
      </w:r>
    </w:p>
    <w:p>
      <w:pPr>
        <w:ind w:firstLine="562" w:firstLineChars="2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持续完善依申请公开工作方法和工作机制，认真做好登记、审核、办理、归档等工作，及时回应群众诉求，着力提升政府信息公开办理水平。202</w:t>
      </w:r>
      <w:r>
        <w:rPr>
          <w:rFonts w:hint="eastAsia" w:ascii="方正仿宋简体" w:hAnsi="方正仿宋简体" w:eastAsia="方正仿宋简体" w:cs="方正仿宋简体"/>
          <w:b/>
          <w:bCs/>
          <w:sz w:val="28"/>
          <w:szCs w:val="28"/>
          <w:lang w:val="en-US" w:eastAsia="zh-CN"/>
        </w:rPr>
        <w:t>3</w:t>
      </w:r>
      <w:r>
        <w:rPr>
          <w:rFonts w:hint="eastAsia" w:ascii="方正仿宋简体" w:hAnsi="方正仿宋简体" w:eastAsia="方正仿宋简体" w:cs="方正仿宋简体"/>
          <w:b/>
          <w:bCs/>
          <w:sz w:val="28"/>
          <w:szCs w:val="28"/>
        </w:rPr>
        <w:t>年，共依法依规和及时处理政府信息公开申请</w:t>
      </w:r>
      <w:r>
        <w:rPr>
          <w:rFonts w:hint="eastAsia" w:ascii="方正仿宋简体" w:hAnsi="方正仿宋简体" w:eastAsia="方正仿宋简体" w:cs="方正仿宋简体"/>
          <w:b/>
          <w:bCs/>
          <w:sz w:val="28"/>
          <w:szCs w:val="28"/>
          <w:lang w:val="en-US" w:eastAsia="zh-CN"/>
        </w:rPr>
        <w:t>0</w:t>
      </w:r>
      <w:r>
        <w:rPr>
          <w:rFonts w:hint="eastAsia" w:ascii="方正仿宋简体" w:hAnsi="方正仿宋简体" w:eastAsia="方正仿宋简体" w:cs="方正仿宋简体"/>
          <w:b/>
          <w:bCs/>
          <w:sz w:val="28"/>
          <w:szCs w:val="28"/>
        </w:rPr>
        <w:t>件。</w:t>
      </w:r>
    </w:p>
    <w:p>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t>表2</w:t>
      </w:r>
      <w:r>
        <w:rPr>
          <w:rFonts w:hint="eastAsia" w:ascii="方正小标宋_GBK" w:hAnsi="方正小标宋_GBK" w:eastAsia="方正小标宋_GBK" w:cs="方正小标宋_GBK"/>
          <w:sz w:val="28"/>
          <w:szCs w:val="28"/>
        </w:rPr>
        <w:t xml:space="preserve"> 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187"/>
        <w:gridCol w:w="3990"/>
        <w:gridCol w:w="420"/>
        <w:gridCol w:w="540"/>
        <w:gridCol w:w="503"/>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593" w:type="dxa"/>
            <w:gridSpan w:val="3"/>
            <w:vMerge w:val="restart"/>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（本列数据的勾稽关系为：第一项加第二项之和，</w:t>
            </w:r>
          </w:p>
          <w:p>
            <w:pPr>
              <w:widowControl/>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等于第三项加第四项之和）</w:t>
            </w:r>
          </w:p>
        </w:tc>
        <w:tc>
          <w:tcPr>
            <w:tcW w:w="4320" w:type="dxa"/>
            <w:gridSpan w:val="7"/>
            <w:shd w:val="clear" w:color="auto" w:fill="auto"/>
            <w:tcMar>
              <w:left w:w="108" w:type="dxa"/>
              <w:right w:w="108" w:type="dxa"/>
            </w:tcMar>
            <w:vAlign w:val="center"/>
          </w:tcPr>
          <w:p>
            <w:pPr>
              <w:widowControl/>
              <w:spacing w:line="320" w:lineRule="exact"/>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593" w:type="dxa"/>
            <w:gridSpan w:val="3"/>
            <w:vMerge w:val="continue"/>
            <w:shd w:val="clear" w:color="auto" w:fill="auto"/>
            <w:tcMar>
              <w:left w:w="108" w:type="dxa"/>
              <w:right w:w="108" w:type="dxa"/>
            </w:tcMar>
            <w:vAlign w:val="center"/>
          </w:tcPr>
          <w:p>
            <w:pPr>
              <w:jc w:val="center"/>
              <w:rPr>
                <w:rFonts w:hint="eastAsia" w:ascii="方正小标宋_GBK" w:hAnsi="方正小标宋_GBK" w:eastAsia="方正小标宋_GBK" w:cs="方正小标宋_GBK"/>
                <w:szCs w:val="21"/>
              </w:rPr>
            </w:pPr>
          </w:p>
        </w:tc>
        <w:tc>
          <w:tcPr>
            <w:tcW w:w="420" w:type="dxa"/>
            <w:vMerge w:val="restart"/>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自然人</w:t>
            </w:r>
          </w:p>
        </w:tc>
        <w:tc>
          <w:tcPr>
            <w:tcW w:w="3049" w:type="dxa"/>
            <w:gridSpan w:val="5"/>
            <w:shd w:val="clear" w:color="auto" w:fill="auto"/>
            <w:tcMar>
              <w:left w:w="108" w:type="dxa"/>
              <w:right w:w="108" w:type="dxa"/>
            </w:tcMar>
            <w:vAlign w:val="center"/>
          </w:tcPr>
          <w:p>
            <w:pPr>
              <w:widowControl/>
              <w:spacing w:line="320" w:lineRule="exact"/>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5593" w:type="dxa"/>
            <w:gridSpan w:val="3"/>
            <w:vMerge w:val="continue"/>
            <w:shd w:val="clear" w:color="auto" w:fill="auto"/>
            <w:tcMar>
              <w:left w:w="108" w:type="dxa"/>
              <w:right w:w="108" w:type="dxa"/>
            </w:tcMar>
            <w:vAlign w:val="center"/>
          </w:tcPr>
          <w:p>
            <w:pPr>
              <w:jc w:val="center"/>
              <w:rPr>
                <w:rFonts w:hint="eastAsia" w:ascii="方正小标宋_GBK" w:hAnsi="方正小标宋_GBK" w:eastAsia="方正小标宋_GBK" w:cs="方正小标宋_GBK"/>
                <w:szCs w:val="21"/>
              </w:rPr>
            </w:pPr>
          </w:p>
        </w:tc>
        <w:tc>
          <w:tcPr>
            <w:tcW w:w="420" w:type="dxa"/>
            <w:vMerge w:val="continue"/>
            <w:shd w:val="clear" w:color="auto" w:fill="auto"/>
            <w:tcMar>
              <w:left w:w="108" w:type="dxa"/>
              <w:right w:w="108" w:type="dxa"/>
            </w:tcMar>
            <w:vAlign w:val="center"/>
          </w:tcPr>
          <w:p>
            <w:pPr>
              <w:jc w:val="center"/>
              <w:rPr>
                <w:rFonts w:hint="eastAsia" w:ascii="方正小标宋_GBK" w:hAnsi="方正小标宋_GBK" w:eastAsia="方正小标宋_GBK" w:cs="方正小标宋_GBK"/>
                <w:szCs w:val="21"/>
              </w:rPr>
            </w:pPr>
          </w:p>
        </w:tc>
        <w:tc>
          <w:tcPr>
            <w:tcW w:w="540" w:type="dxa"/>
            <w:shd w:val="clear" w:color="auto" w:fill="auto"/>
            <w:tcMar>
              <w:left w:w="108" w:type="dxa"/>
              <w:right w:w="108" w:type="dxa"/>
            </w:tcMar>
            <w:vAlign w:val="center"/>
          </w:tcPr>
          <w:p>
            <w:pPr>
              <w:widowControl/>
              <w:spacing w:line="320" w:lineRule="exact"/>
              <w:ind w:left="-106" w:leftChars="-51" w:right="-107" w:rightChars="-51" w:hanging="1"/>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商业企业</w:t>
            </w:r>
          </w:p>
        </w:tc>
        <w:tc>
          <w:tcPr>
            <w:tcW w:w="503" w:type="dxa"/>
            <w:shd w:val="clear" w:color="auto" w:fill="auto"/>
            <w:tcMar>
              <w:left w:w="108" w:type="dxa"/>
              <w:right w:w="108" w:type="dxa"/>
            </w:tcMar>
            <w:vAlign w:val="center"/>
          </w:tcPr>
          <w:p>
            <w:pPr>
              <w:widowControl/>
              <w:spacing w:line="320" w:lineRule="exact"/>
              <w:ind w:left="-107" w:leftChars="-51" w:right="-107" w:rightChars="-51"/>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其他</w:t>
            </w:r>
          </w:p>
        </w:tc>
        <w:tc>
          <w:tcPr>
            <w:tcW w:w="851" w:type="dxa"/>
            <w:vMerge w:val="continue"/>
            <w:shd w:val="clear" w:color="auto" w:fill="auto"/>
            <w:tcMar>
              <w:left w:w="108" w:type="dxa"/>
              <w:right w:w="108" w:type="dxa"/>
            </w:tcMar>
            <w:vAlign w:val="center"/>
          </w:tcPr>
          <w:p>
            <w:pPr>
              <w:jc w:val="center"/>
              <w:rPr>
                <w:rFonts w:hint="eastAsia" w:ascii="方正小标宋_GBK" w:hAnsi="方正小标宋_GBK" w:eastAsia="方正小标宋_GBK" w:cs="方正小标宋_GBK"/>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93" w:type="dxa"/>
            <w:gridSpan w:val="3"/>
            <w:shd w:val="clear" w:color="auto" w:fill="auto"/>
            <w:tcMar>
              <w:left w:w="108" w:type="dxa"/>
              <w:right w:w="108" w:type="dxa"/>
            </w:tcMar>
            <w:vAlign w:val="center"/>
          </w:tcPr>
          <w:p>
            <w:pPr>
              <w:widowControl/>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一、</w:t>
            </w:r>
            <w:bookmarkStart w:id="0" w:name="_Hlk66973412"/>
            <w:r>
              <w:rPr>
                <w:rFonts w:hint="eastAsia" w:ascii="方正小标宋_GBK" w:hAnsi="方正小标宋_GBK" w:eastAsia="方正小标宋_GBK" w:cs="方正小标宋_GBK"/>
                <w:kern w:val="0"/>
                <w:szCs w:val="21"/>
              </w:rPr>
              <w:t>本年新收政府信息公开申请数量</w:t>
            </w:r>
            <w:bookmarkEnd w:id="0"/>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szCs w:val="21"/>
                <w:lang w:val="en-US" w:eastAsia="zh-CN"/>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93" w:type="dxa"/>
            <w:gridSpan w:val="3"/>
            <w:shd w:val="clear" w:color="auto" w:fill="auto"/>
            <w:tcMar>
              <w:left w:w="108" w:type="dxa"/>
              <w:right w:w="108" w:type="dxa"/>
            </w:tcMar>
            <w:vAlign w:val="center"/>
          </w:tcPr>
          <w:p>
            <w:pPr>
              <w:widowControl/>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二、上年结转政府信息公开申请数量</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三、本年度办理结果</w:t>
            </w:r>
          </w:p>
        </w:tc>
        <w:tc>
          <w:tcPr>
            <w:tcW w:w="5177" w:type="dxa"/>
            <w:gridSpan w:val="2"/>
            <w:shd w:val="clear" w:color="auto" w:fill="auto"/>
            <w:tcMar>
              <w:left w:w="108" w:type="dxa"/>
              <w:right w:w="108" w:type="dxa"/>
            </w:tcMar>
            <w:vAlign w:val="center"/>
          </w:tcPr>
          <w:p>
            <w:pPr>
              <w:widowControl/>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（一）予以公开</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5177" w:type="dxa"/>
            <w:gridSpan w:val="2"/>
            <w:shd w:val="clear" w:color="auto" w:fill="auto"/>
            <w:tcMar>
              <w:left w:w="108" w:type="dxa"/>
              <w:right w:w="108" w:type="dxa"/>
            </w:tcMar>
            <w:vAlign w:val="center"/>
          </w:tcPr>
          <w:p>
            <w:pPr>
              <w:widowControl/>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（二）部分公开（</w:t>
            </w:r>
            <w:bookmarkStart w:id="1" w:name="_Hlk66973981"/>
            <w:r>
              <w:rPr>
                <w:rFonts w:hint="eastAsia" w:ascii="方正小标宋_GBK" w:hAnsi="方正小标宋_GBK" w:eastAsia="方正小标宋_GBK" w:cs="方正小标宋_GBK"/>
                <w:kern w:val="0"/>
                <w:szCs w:val="21"/>
              </w:rPr>
              <w:t>区分处理的，只计这一情形，不计其他情形</w:t>
            </w:r>
            <w:bookmarkEnd w:id="1"/>
            <w:r>
              <w:rPr>
                <w:rFonts w:hint="eastAsia" w:ascii="方正小标宋_GBK" w:hAnsi="方正小标宋_GBK" w:eastAsia="方正小标宋_GBK" w:cs="方正小标宋_GBK"/>
                <w:kern w:val="0"/>
                <w:szCs w:val="21"/>
              </w:rPr>
              <w:t>）</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restart"/>
            <w:shd w:val="clear" w:color="auto" w:fill="auto"/>
            <w:tcMar>
              <w:left w:w="108" w:type="dxa"/>
              <w:right w:w="108" w:type="dxa"/>
            </w:tcMar>
            <w:vAlign w:val="center"/>
          </w:tcPr>
          <w:p>
            <w:pPr>
              <w:widowControl/>
              <w:spacing w:line="200" w:lineRule="exact"/>
              <w:ind w:left="-107" w:leftChars="-51"/>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（三）不予公开</w:t>
            </w:r>
          </w:p>
        </w:tc>
        <w:tc>
          <w:tcPr>
            <w:tcW w:w="3990" w:type="dxa"/>
            <w:shd w:val="clear" w:color="auto" w:fill="auto"/>
            <w:tcMar>
              <w:left w:w="108" w:type="dxa"/>
              <w:right w:w="108" w:type="dxa"/>
            </w:tcMar>
            <w:vAlign w:val="center"/>
          </w:tcPr>
          <w:p>
            <w:pPr>
              <w:widowControl/>
              <w:spacing w:line="200" w:lineRule="exact"/>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1.属于国家秘密</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2.</w:t>
            </w:r>
            <w:bookmarkStart w:id="2" w:name="_Hlk66974104"/>
            <w:r>
              <w:rPr>
                <w:rFonts w:hint="eastAsia" w:ascii="方正小标宋_GBK" w:hAnsi="方正小标宋_GBK" w:eastAsia="方正小标宋_GBK" w:cs="方正小标宋_GBK"/>
                <w:kern w:val="0"/>
                <w:szCs w:val="21"/>
              </w:rPr>
              <w:t>其他法律行政法规禁止公开</w:t>
            </w:r>
            <w:bookmarkEnd w:id="2"/>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3.危及“三安全一稳定”</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4.</w:t>
            </w:r>
            <w:bookmarkStart w:id="3" w:name="_Hlk66974290"/>
            <w:r>
              <w:rPr>
                <w:rFonts w:hint="eastAsia" w:ascii="方正小标宋_GBK" w:hAnsi="方正小标宋_GBK" w:eastAsia="方正小标宋_GBK" w:cs="方正小标宋_GBK"/>
                <w:kern w:val="0"/>
                <w:szCs w:val="21"/>
              </w:rPr>
              <w:t>保护第三方合法权益</w:t>
            </w:r>
            <w:bookmarkEnd w:id="3"/>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5.属于三类内部事务信息</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6.</w:t>
            </w:r>
            <w:bookmarkStart w:id="4" w:name="_Hlk66974555"/>
            <w:r>
              <w:rPr>
                <w:rFonts w:hint="eastAsia" w:ascii="方正小标宋_GBK" w:hAnsi="方正小标宋_GBK" w:eastAsia="方正小标宋_GBK" w:cs="方正小标宋_GBK"/>
                <w:kern w:val="0"/>
                <w:szCs w:val="21"/>
              </w:rPr>
              <w:t>属于四类过程性信息</w:t>
            </w:r>
            <w:bookmarkEnd w:id="4"/>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7.属于行政执法案卷</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8.</w:t>
            </w:r>
            <w:bookmarkStart w:id="5" w:name="_Hlk66975211"/>
            <w:r>
              <w:rPr>
                <w:rFonts w:hint="eastAsia" w:ascii="方正小标宋_GBK" w:hAnsi="方正小标宋_GBK" w:eastAsia="方正小标宋_GBK" w:cs="方正小标宋_GBK"/>
                <w:kern w:val="0"/>
                <w:szCs w:val="21"/>
              </w:rPr>
              <w:t>属于行政查询事项</w:t>
            </w:r>
            <w:bookmarkEnd w:id="5"/>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restart"/>
            <w:shd w:val="clear" w:color="auto" w:fill="auto"/>
            <w:tcMar>
              <w:left w:w="108" w:type="dxa"/>
              <w:right w:w="108" w:type="dxa"/>
            </w:tcMar>
            <w:vAlign w:val="center"/>
          </w:tcPr>
          <w:p>
            <w:pPr>
              <w:widowControl/>
              <w:spacing w:line="200" w:lineRule="exact"/>
              <w:ind w:left="-107" w:leftChars="-51"/>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（四）无法提供</w:t>
            </w: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1.本机关不掌握相关政府信息</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ind w:left="-107" w:leftChars="-51"/>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2.</w:t>
            </w:r>
            <w:bookmarkStart w:id="6" w:name="_Hlk66975392"/>
            <w:r>
              <w:rPr>
                <w:rFonts w:hint="eastAsia" w:ascii="方正小标宋_GBK" w:hAnsi="方正小标宋_GBK" w:eastAsia="方正小标宋_GBK" w:cs="方正小标宋_GBK"/>
                <w:kern w:val="0"/>
                <w:szCs w:val="21"/>
              </w:rPr>
              <w:t>没有现成信息需要另行制作</w:t>
            </w:r>
            <w:bookmarkEnd w:id="6"/>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ind w:left="-107" w:leftChars="-51"/>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3.</w:t>
            </w:r>
            <w:bookmarkStart w:id="7" w:name="_Hlk66975466"/>
            <w:r>
              <w:rPr>
                <w:rFonts w:hint="eastAsia" w:ascii="方正小标宋_GBK" w:hAnsi="方正小标宋_GBK" w:eastAsia="方正小标宋_GBK" w:cs="方正小标宋_GBK"/>
                <w:kern w:val="0"/>
                <w:szCs w:val="21"/>
              </w:rPr>
              <w:t>补正后申请内容仍不明确</w:t>
            </w:r>
            <w:bookmarkEnd w:id="7"/>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restart"/>
            <w:shd w:val="clear" w:color="auto" w:fill="auto"/>
            <w:tcMar>
              <w:left w:w="108" w:type="dxa"/>
              <w:right w:w="108" w:type="dxa"/>
            </w:tcMar>
            <w:vAlign w:val="center"/>
          </w:tcPr>
          <w:p>
            <w:pPr>
              <w:widowControl/>
              <w:spacing w:line="200" w:lineRule="exact"/>
              <w:ind w:left="-107" w:leftChars="-51"/>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（五）不予处理</w:t>
            </w: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1.</w:t>
            </w:r>
            <w:bookmarkStart w:id="8" w:name="_Hlk66975537"/>
            <w:r>
              <w:rPr>
                <w:rFonts w:hint="eastAsia" w:ascii="方正小标宋_GBK" w:hAnsi="方正小标宋_GBK" w:eastAsia="方正小标宋_GBK" w:cs="方正小标宋_GBK"/>
                <w:kern w:val="0"/>
                <w:szCs w:val="21"/>
              </w:rPr>
              <w:t>信访举报投诉类申请</w:t>
            </w:r>
            <w:bookmarkEnd w:id="8"/>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2.重复申请</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3.要求提供公开出版物</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4.无正当理由大量反复申请</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spacing w:line="200" w:lineRule="exact"/>
              <w:rPr>
                <w:rFonts w:hint="eastAsia" w:ascii="方正小标宋_GBK" w:hAnsi="方正小标宋_GBK" w:eastAsia="方正小标宋_GBK" w:cs="方正小标宋_GBK"/>
                <w:szCs w:val="21"/>
              </w:rPr>
            </w:pPr>
          </w:p>
        </w:tc>
        <w:tc>
          <w:tcPr>
            <w:tcW w:w="399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kern w:val="0"/>
                <w:szCs w:val="21"/>
              </w:rPr>
              <w:t>5.要求行政机关确认或重新出具已获取信息</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7" w:hRule="atLeas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restart"/>
            <w:shd w:val="clear" w:color="auto" w:fill="auto"/>
            <w:tcMar>
              <w:left w:w="108" w:type="dxa"/>
              <w:right w:w="108" w:type="dxa"/>
            </w:tcMar>
            <w:vAlign w:val="center"/>
          </w:tcPr>
          <w:p>
            <w:pPr>
              <w:widowControl/>
              <w:spacing w:line="300" w:lineRule="exact"/>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（六）其他处理</w:t>
            </w:r>
          </w:p>
        </w:tc>
        <w:tc>
          <w:tcPr>
            <w:tcW w:w="3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1.申请人无正当理由逾期不补正、行政机关不再处理其政府信息公开申请</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widowControl/>
              <w:spacing w:line="300" w:lineRule="exact"/>
              <w:rPr>
                <w:rFonts w:hint="eastAsia" w:ascii="方正小标宋_GBK" w:hAnsi="方正小标宋_GBK" w:eastAsia="方正小标宋_GBK" w:cs="方正小标宋_GBK"/>
                <w:kern w:val="0"/>
                <w:szCs w:val="21"/>
              </w:rPr>
            </w:pPr>
          </w:p>
        </w:tc>
        <w:tc>
          <w:tcPr>
            <w:tcW w:w="3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rPr>
              <w:t>2.申请人逾期未按收费通知要求缴纳费用、行政机关不再处理其政府信息公开申请</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1187" w:type="dxa"/>
            <w:vMerge w:val="continue"/>
            <w:shd w:val="clear" w:color="auto" w:fill="auto"/>
            <w:tcMar>
              <w:left w:w="108" w:type="dxa"/>
              <w:right w:w="108" w:type="dxa"/>
            </w:tcMar>
            <w:vAlign w:val="center"/>
          </w:tcPr>
          <w:p>
            <w:pPr>
              <w:widowControl/>
              <w:spacing w:line="300" w:lineRule="exact"/>
              <w:rPr>
                <w:rFonts w:hint="eastAsia" w:ascii="方正小标宋_GBK" w:hAnsi="方正小标宋_GBK" w:eastAsia="方正小标宋_GBK" w:cs="方正小标宋_GBK"/>
                <w:kern w:val="0"/>
                <w:szCs w:val="21"/>
              </w:rPr>
            </w:pPr>
          </w:p>
        </w:tc>
        <w:tc>
          <w:tcPr>
            <w:tcW w:w="3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rPr>
              <w:t>3.其他</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416" w:type="dxa"/>
            <w:vMerge w:val="continue"/>
            <w:shd w:val="clear" w:color="auto" w:fill="auto"/>
            <w:tcMar>
              <w:left w:w="108" w:type="dxa"/>
              <w:right w:w="108" w:type="dxa"/>
            </w:tcMar>
            <w:vAlign w:val="center"/>
          </w:tcPr>
          <w:p>
            <w:pPr>
              <w:rPr>
                <w:rFonts w:hint="eastAsia" w:ascii="方正小标宋_GBK" w:hAnsi="方正小标宋_GBK" w:eastAsia="方正小标宋_GBK" w:cs="方正小标宋_GBK"/>
                <w:szCs w:val="21"/>
              </w:rPr>
            </w:pPr>
          </w:p>
        </w:tc>
        <w:tc>
          <w:tcPr>
            <w:tcW w:w="5177" w:type="dxa"/>
            <w:gridSpan w:val="2"/>
            <w:shd w:val="clear" w:color="auto" w:fill="auto"/>
            <w:tcMar>
              <w:left w:w="108" w:type="dxa"/>
              <w:right w:w="108" w:type="dxa"/>
            </w:tcMar>
            <w:vAlign w:val="center"/>
          </w:tcPr>
          <w:p>
            <w:pPr>
              <w:widowControl/>
              <w:spacing w:line="300" w:lineRule="exact"/>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（七）总计</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93" w:type="dxa"/>
            <w:gridSpan w:val="3"/>
            <w:shd w:val="clear" w:color="auto" w:fill="auto"/>
            <w:tcMar>
              <w:left w:w="108" w:type="dxa"/>
              <w:right w:w="108" w:type="dxa"/>
            </w:tcMar>
            <w:vAlign w:val="center"/>
          </w:tcPr>
          <w:p>
            <w:pPr>
              <w:widowControl/>
              <w:spacing w:line="300" w:lineRule="exact"/>
              <w:rPr>
                <w:rFonts w:hint="eastAsia" w:ascii="方正小标宋_GBK" w:hAnsi="方正小标宋_GBK" w:eastAsia="方正小标宋_GBK" w:cs="方正小标宋_GBK"/>
                <w:kern w:val="0"/>
                <w:szCs w:val="21"/>
              </w:rPr>
            </w:pPr>
            <w:r>
              <w:rPr>
                <w:rFonts w:hint="eastAsia" w:ascii="方正小标宋_GBK" w:hAnsi="方正小标宋_GBK" w:eastAsia="方正小标宋_GBK" w:cs="方正小标宋_GBK"/>
                <w:kern w:val="0"/>
                <w:szCs w:val="21"/>
              </w:rPr>
              <w:t>四、结转下年度继续办理</w:t>
            </w:r>
          </w:p>
        </w:tc>
        <w:tc>
          <w:tcPr>
            <w:tcW w:w="42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40"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03"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kern w:val="2"/>
                <w:sz w:val="21"/>
                <w:szCs w:val="21"/>
                <w:lang w:val="en-US" w:eastAsia="zh-CN" w:bidi="ar-SA"/>
              </w:rPr>
            </w:pPr>
            <w:r>
              <w:rPr>
                <w:rFonts w:hint="eastAsia" w:ascii="方正小标宋_GBK" w:hAnsi="方正小标宋_GBK" w:eastAsia="方正小标宋_GBK" w:cs="方正小标宋_GBK"/>
                <w:szCs w:val="21"/>
                <w:lang w:val="en-US" w:eastAsia="zh-CN"/>
              </w:rPr>
              <w:t>0</w:t>
            </w:r>
          </w:p>
        </w:tc>
      </w:tr>
    </w:tbl>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（四）因政府信息公开工作被申请行政复议、提起行政诉讼情况</w:t>
      </w:r>
      <w:bookmarkStart w:id="10" w:name="_GoBack"/>
      <w:bookmarkEnd w:id="10"/>
    </w:p>
    <w:p>
      <w:pPr>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强化政府信息管理，2023年，因政府信息公开工作被申请行政复议、提起行政诉讼情况申请</w:t>
      </w:r>
      <w:r>
        <w:rPr>
          <w:rFonts w:hint="eastAsia" w:ascii="方正仿宋简体" w:hAnsi="方正仿宋简体" w:eastAsia="方正仿宋简体" w:cs="方正仿宋简体"/>
          <w:b/>
          <w:bCs/>
          <w:sz w:val="32"/>
          <w:szCs w:val="32"/>
          <w:lang w:val="en-US" w:eastAsia="zh-CN"/>
        </w:rPr>
        <w:t>0</w:t>
      </w:r>
      <w:r>
        <w:rPr>
          <w:rFonts w:hint="eastAsia" w:ascii="方正仿宋简体" w:hAnsi="方正仿宋简体" w:eastAsia="方正仿宋简体" w:cs="方正仿宋简体"/>
          <w:b/>
          <w:bCs/>
          <w:sz w:val="32"/>
          <w:szCs w:val="32"/>
        </w:rPr>
        <w:t>件。</w:t>
      </w:r>
    </w:p>
    <w:p>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t xml:space="preserve">表3 </w:t>
      </w:r>
      <w:r>
        <w:rPr>
          <w:rFonts w:hint="eastAsia" w:ascii="方正小标宋_GBK" w:hAnsi="方正小标宋_GBK" w:eastAsia="方正小标宋_GBK" w:cs="方正小标宋_GBK"/>
          <w:sz w:val="28"/>
          <w:szCs w:val="28"/>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结果</w:t>
            </w:r>
          </w:p>
          <w:p>
            <w:pPr>
              <w:widowControl/>
              <w:ind w:left="-149" w:leftChars="-71" w:right="-170" w:rightChars="-81"/>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尚未</w:t>
            </w:r>
          </w:p>
          <w:p>
            <w:pPr>
              <w:widowControl/>
              <w:ind w:left="-118" w:leftChars="-56" w:right="-118" w:rightChars="-56"/>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总</w:t>
            </w:r>
          </w:p>
          <w:p>
            <w:pPr>
              <w:widowControl/>
              <w:spacing w:line="320" w:lineRule="exact"/>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bookmarkStart w:id="9" w:name="_Hlk67039688"/>
            <w:r>
              <w:rPr>
                <w:rFonts w:hint="eastAsia" w:ascii="方正小标宋_GBK" w:hAnsi="方正小标宋_GBK" w:eastAsia="方正小标宋_GBK" w:cs="方正小标宋_GBK"/>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方正小标宋_GBK" w:hAnsi="方正小标宋_GBK" w:eastAsia="方正小标宋_GBK" w:cs="方正小标宋_GBK"/>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方正小标宋_GBK" w:hAnsi="方正小标宋_GBK" w:eastAsia="方正小标宋_GBK" w:cs="方正小标宋_GBK"/>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方正小标宋_GBK" w:hAnsi="方正小标宋_GBK" w:eastAsia="方正小标宋_GBK" w:cs="方正小标宋_GBK"/>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方正小标宋_GBK" w:hAnsi="方正小标宋_GBK" w:eastAsia="方正小标宋_GBK" w:cs="方正小标宋_GBK"/>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方正小标宋_GBK" w:hAnsi="方正小标宋_GBK" w:eastAsia="方正小标宋_GBK" w:cs="方正小标宋_GBK"/>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其他</w:t>
            </w:r>
          </w:p>
          <w:p>
            <w:pPr>
              <w:widowControl/>
              <w:ind w:left="-126" w:leftChars="-60" w:right="-136" w:rightChars="-65"/>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尚未</w:t>
            </w:r>
          </w:p>
          <w:p>
            <w:pPr>
              <w:widowControl/>
              <w:ind w:left="-164" w:leftChars="-78" w:right="-153" w:rightChars="-73"/>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结果</w:t>
            </w:r>
          </w:p>
          <w:p>
            <w:pPr>
              <w:widowControl/>
              <w:ind w:left="-136" w:leftChars="-65" w:right="-124" w:rightChars="-59"/>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eastAsia" w:ascii="方正小标宋_GBK" w:hAnsi="方正小标宋_GBK" w:eastAsia="方正小标宋_GBK" w:cs="方正小标宋_GBK"/>
                <w:kern w:val="0"/>
                <w:sz w:val="20"/>
                <w:szCs w:val="20"/>
              </w:rPr>
            </w:pPr>
            <w:r>
              <w:rPr>
                <w:rFonts w:hint="eastAsia" w:ascii="方正小标宋_GBK" w:hAnsi="方正小标宋_GBK" w:eastAsia="方正小标宋_GBK" w:cs="方正小标宋_GBK"/>
                <w:kern w:val="0"/>
                <w:sz w:val="20"/>
                <w:szCs w:val="20"/>
              </w:rPr>
              <w:t>其他</w:t>
            </w:r>
          </w:p>
          <w:p>
            <w:pPr>
              <w:widowControl/>
              <w:ind w:left="-173" w:leftChars="-83" w:right="-134" w:rightChars="-64" w:hanging="1"/>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lang w:val="en-US" w:eastAsia="zh-CN"/>
              </w:rPr>
              <w:t>0</w:t>
            </w:r>
          </w:p>
        </w:tc>
      </w:tr>
    </w:tbl>
    <w:p>
      <w:pPr>
        <w:spacing w:line="600" w:lineRule="exact"/>
        <w:ind w:firstLine="643" w:firstLineChars="200"/>
        <w:rPr>
          <w:rFonts w:hint="eastAsia" w:ascii="方正小标宋_GBK" w:hAnsi="方正小标宋_GBK" w:eastAsia="方正小标宋_GBK" w:cs="方正小标宋_GBK"/>
          <w:b/>
          <w:bCs/>
          <w:sz w:val="32"/>
          <w:szCs w:val="32"/>
        </w:rPr>
      </w:pPr>
      <w:r>
        <w:rPr>
          <w:rFonts w:hint="eastAsia" w:ascii="方正楷体简体" w:hAnsi="方正楷体简体" w:eastAsia="方正楷体简体" w:cs="方正楷体简体"/>
          <w:b/>
          <w:bCs/>
          <w:sz w:val="32"/>
          <w:szCs w:val="32"/>
        </w:rPr>
        <w:t>（五）政府信息公开工作存在的主要问题及改进情况</w:t>
      </w:r>
    </w:p>
    <w:p>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在2023年度的政府信息公开工作中，济宁北湖省级旅游度假区财政金融局根据政务公开的相关要求，对存在的一些问题进行了改进，主要有以下三个方面。</w:t>
      </w:r>
    </w:p>
    <w:p>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是对政府信息公开相关政策掌握不全面，对新形势下更好地开展高质量政府信息公开工作准备不够充分。拓宽公开渠道，丰富形式。充分利用各种媒体和渠道，及时掌握政府信息的发布和传播。同时，注重政策解读和回应关切，增强政策透明度。</w:t>
      </w:r>
    </w:p>
    <w:p>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二是主动公开意识不够强。公开时效及稿件质量有待进一步提高。根据省、市、区政府以及政务公开相关政策的要求，2023年，</w:t>
      </w:r>
      <w:r>
        <w:rPr>
          <w:rFonts w:hint="eastAsia" w:ascii="方正仿宋简体" w:hAnsi="方正仿宋简体" w:eastAsia="方正仿宋简体" w:cs="方正仿宋简体"/>
          <w:b/>
          <w:bCs/>
          <w:sz w:val="32"/>
          <w:szCs w:val="32"/>
          <w:lang w:eastAsia="zh-CN"/>
        </w:rPr>
        <w:t>济宁北湖省级旅游度假区财政金融局</w:t>
      </w:r>
      <w:r>
        <w:rPr>
          <w:rFonts w:hint="eastAsia" w:ascii="方正仿宋简体" w:hAnsi="方正仿宋简体" w:eastAsia="方正仿宋简体" w:cs="方正仿宋简体"/>
          <w:b/>
          <w:bCs/>
          <w:sz w:val="32"/>
          <w:szCs w:val="32"/>
          <w:lang w:val="en-US" w:eastAsia="zh-CN"/>
        </w:rPr>
        <w:t>逐步完善了公开的内容。完善了本单位机构职能、政务公开目录、信息公开指南等基本信息的公开；规范了各预算部门财政预决算、政府采购、项目绩效管理的公开；明确了财政收支、政府债务、行政事业性收费目录以及国资国企等相关财政信息的公开。</w:t>
      </w:r>
    </w:p>
    <w:p>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三是对政府信息公开工作人员队伍培训力度还需进一步加强。进一步加强对政府信息公开工作的领导，提高本单位全体人员对信息公开工作重要性的认识，确保信息公开工作落到实处。</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（六）其他需要报告的事项</w:t>
      </w:r>
    </w:p>
    <w:p>
      <w:pPr>
        <w:ind w:firstLine="643" w:firstLineChars="200"/>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本年度，本单位未收取信息公开处理费。</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大标宋繁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大标宋_GBK">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兰亭大黑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兰亭大黑_GBK">
    <w:panose1 w:val="02000000000000000000"/>
    <w:charset w:val="86"/>
    <w:family w:val="auto"/>
    <w:pitch w:val="default"/>
    <w:sig w:usb0="A00002BF" w:usb1="3BCF7CFA" w:usb2="00042016" w:usb3="00000010" w:csb0="00040001" w:csb1="00000000"/>
  </w:font>
  <w:font w:name="方正书宋_GBK">
    <w:panose1 w:val="02000000000000000000"/>
    <w:charset w:val="86"/>
    <w:family w:val="auto"/>
    <w:pitch w:val="default"/>
    <w:sig w:usb0="A00002BF" w:usb1="38CF7CFA" w:usb2="00082016" w:usb3="00000000" w:csb0="00040001" w:csb1="00000000"/>
  </w:font>
  <w:font w:name="新宋体">
    <w:panose1 w:val="02010609030101010101"/>
    <w:charset w:val="86"/>
    <w:family w:val="auto"/>
    <w:pitch w:val="default"/>
    <w:sig w:usb0="00000203" w:usb1="288F0000" w:usb2="00000006" w:usb3="00000000" w:csb0="00040001" w:csb1="00000000"/>
  </w:font>
  <w:font w:name="方正准圆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大黑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NDJiODRhOTM1NmRhYWE2NGJmMDQ3MTk1ZmVkODQ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15194C76"/>
    <w:rsid w:val="2D651106"/>
    <w:rsid w:val="2EB26E03"/>
    <w:rsid w:val="2F1C01EC"/>
    <w:rsid w:val="2FBB4372"/>
    <w:rsid w:val="3C2E3547"/>
    <w:rsid w:val="48EE4790"/>
    <w:rsid w:val="534213F3"/>
    <w:rsid w:val="55F16E3A"/>
    <w:rsid w:val="6654669E"/>
    <w:rsid w:val="67AD54A4"/>
    <w:rsid w:val="68BD17C7"/>
    <w:rsid w:val="690C3D92"/>
    <w:rsid w:val="6B080AA9"/>
    <w:rsid w:val="79A9023A"/>
    <w:rsid w:val="7F7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Date"/>
    <w:basedOn w:val="1"/>
    <w:next w:val="1"/>
    <w:link w:val="11"/>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2270</Words>
  <Characters>2336</Characters>
  <Lines>30</Lines>
  <Paragraphs>8</Paragraphs>
  <TotalTime>127</TotalTime>
  <ScaleCrop>false</ScaleCrop>
  <LinksUpToDate>false</LinksUpToDate>
  <CharactersWithSpaces>2355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WPS_1614278016</cp:lastModifiedBy>
  <cp:lastPrinted>2024-01-02T08:50:00Z</cp:lastPrinted>
  <dcterms:modified xsi:type="dcterms:W3CDTF">2024-03-16T07:07:44Z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46101677FB1D43AE866D7A9FC9C8609F</vt:lpwstr>
  </property>
</Properties>
</file>