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585" w:lineRule="atLeast"/>
        <w:ind w:left="0" w:right="0" w:firstLine="645"/>
        <w:jc w:val="center"/>
        <w:rPr>
          <w:rStyle w:val="5"/>
          <w:rFonts w:hint="eastAsia" w:ascii="方正小标宋简体" w:hAnsi="方正小标宋简体" w:eastAsia="方正小标宋简体" w:cs="方正小标宋简体"/>
          <w:b/>
          <w:bCs/>
          <w:i w:val="0"/>
          <w:iCs w:val="0"/>
          <w:caps w:val="0"/>
          <w:color w:val="000000"/>
          <w:spacing w:val="0"/>
          <w:sz w:val="44"/>
          <w:szCs w:val="44"/>
        </w:rPr>
      </w:pPr>
      <w:bookmarkStart w:id="0" w:name="_GoBack"/>
      <w:r>
        <w:rPr>
          <w:rStyle w:val="5"/>
          <w:rFonts w:hint="eastAsia" w:ascii="方正小标宋简体" w:hAnsi="方正小标宋简体" w:eastAsia="方正小标宋简体" w:cs="方正小标宋简体"/>
          <w:spacing w:val="0"/>
          <w:sz w:val="44"/>
          <w:szCs w:val="44"/>
          <w:shd w:val="clear" w:fill="FFFFFF"/>
        </w:rPr>
        <w:t>济宁太白湖新区</w:t>
      </w:r>
      <w:r>
        <w:rPr>
          <w:rStyle w:val="5"/>
          <w:rFonts w:hint="eastAsia" w:ascii="方正小标宋简体" w:hAnsi="方正小标宋简体" w:eastAsia="方正小标宋简体" w:cs="方正小标宋简体"/>
          <w:spacing w:val="0"/>
          <w:sz w:val="44"/>
          <w:szCs w:val="44"/>
          <w:shd w:val="clear" w:fill="FFFFFF"/>
          <w:lang w:eastAsia="zh-CN"/>
        </w:rPr>
        <w:t>管委会</w:t>
      </w:r>
      <w:r>
        <w:rPr>
          <w:rFonts w:hint="eastAsia" w:ascii="方正小标宋简体" w:hAnsi="方正小标宋简体" w:eastAsia="方正小标宋简体" w:cs="方正小标宋简体"/>
          <w:b/>
          <w:bCs/>
          <w:color w:val="333333"/>
          <w:spacing w:val="0"/>
          <w:sz w:val="44"/>
          <w:szCs w:val="44"/>
          <w:shd w:val="clear" w:fill="FFFFFF"/>
        </w:rPr>
        <w:t>许庄街道办事处</w:t>
      </w:r>
      <w:r>
        <w:rPr>
          <w:rFonts w:hint="eastAsia" w:ascii="方正小标宋简体" w:hAnsi="方正小标宋简体" w:eastAsia="方正小标宋简体" w:cs="方正小标宋简体"/>
          <w:b/>
          <w:bCs/>
          <w:sz w:val="44"/>
          <w:szCs w:val="44"/>
          <w:shd w:val="clear" w:color="auto" w:fill="FFFFFF"/>
          <w:lang w:val="en-US" w:eastAsia="zh-CN"/>
        </w:rPr>
        <w:t>2021年度政府</w:t>
      </w:r>
      <w:r>
        <w:rPr>
          <w:rFonts w:hint="eastAsia" w:ascii="方正小标宋简体" w:hAnsi="方正小标宋简体" w:eastAsia="方正小标宋简体" w:cs="方正小标宋简体"/>
          <w:b/>
          <w:bCs/>
          <w:sz w:val="44"/>
          <w:szCs w:val="44"/>
          <w:shd w:val="clear" w:color="auto" w:fill="FFFFFF"/>
        </w:rPr>
        <w:t>信息公开年度报告</w:t>
      </w:r>
      <w:bookmarkEnd w:id="0"/>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本报告由许庄街道办事处按照《中华人民共和国政府信息公开条例》（以下简称《条例》）和《中华人民共和国政府信息公开工作年度报告格式》（国办公开办函〔2021〕30号）要求编制。</w:t>
      </w:r>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本报告所列数据的统计期限自2021年1月1日起至2021年12月31日止。本报告电子版可在“中国·济宁”政府门户网站查阅或下载。如对本报告有疑问，请与许庄街道办事处联系（地址：太白湖新区许庄路2号，联系电话：0537-6506200）。</w:t>
      </w:r>
    </w:p>
    <w:p>
      <w:pPr>
        <w:pStyle w:val="2"/>
        <w:keepNext w:val="0"/>
        <w:keepLines w:val="0"/>
        <w:widowControl/>
        <w:suppressLineNumbers w:val="0"/>
        <w:spacing w:before="0" w:beforeAutospacing="0" w:after="0" w:afterAutospacing="0" w:line="585" w:lineRule="atLeast"/>
        <w:ind w:left="0" w:right="0" w:firstLine="645"/>
        <w:rPr>
          <w:rFonts w:hint="eastAsia" w:ascii="方正黑体简体" w:hAnsi="方正黑体简体" w:eastAsia="方正黑体简体" w:cs="方正黑体简体"/>
          <w:b/>
          <w:bCs w:val="0"/>
          <w:i w:val="0"/>
          <w:iCs w:val="0"/>
          <w:caps w:val="0"/>
          <w:color w:val="000000"/>
          <w:spacing w:val="0"/>
          <w:sz w:val="32"/>
          <w:szCs w:val="32"/>
        </w:rPr>
      </w:pPr>
      <w:r>
        <w:rPr>
          <w:rStyle w:val="5"/>
          <w:rFonts w:hint="eastAsia" w:ascii="方正黑体简体" w:hAnsi="方正黑体简体" w:eastAsia="方正黑体简体" w:cs="方正黑体简体"/>
          <w:b/>
          <w:bCs w:val="0"/>
          <w:i w:val="0"/>
          <w:iCs w:val="0"/>
          <w:caps w:val="0"/>
          <w:color w:val="000000"/>
          <w:spacing w:val="0"/>
          <w:sz w:val="32"/>
          <w:szCs w:val="32"/>
        </w:rPr>
        <w:t>一、总体情况</w:t>
      </w:r>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2021年，在区党工委、管委会的正确领导下，我街道坚持《中华人民共和国政府信息公开条例》为工作准则，认真贯彻落实有关文件和会议精神，全面推进政务公开工作，取得了明显成效。主要做法：1、加强组织领导，完善工作机制。</w:t>
      </w:r>
    </w:p>
    <w:p>
      <w:pPr>
        <w:pStyle w:val="2"/>
        <w:keepNext w:val="0"/>
        <w:keepLines w:val="0"/>
        <w:widowControl/>
        <w:suppressLineNumbers w:val="0"/>
        <w:spacing w:before="0" w:beforeAutospacing="0" w:after="0" w:afterAutospacing="0" w:line="420" w:lineRule="atLeast"/>
        <w:ind w:left="0" w:right="0" w:firstLine="0"/>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加强政府信息公开工作，营造良好的政务环境，有利于提高我街道行政行为的透明度和办事效率，有利于充分发挥政府信息对人民群众生产、生活和经济社会活动的服务作用，有利于管理我街道在履行职责过程中制作或者获取的以一定形式记录保存的信息。因此，我街道领导班子对我街道政务公开工作高度重视。各部门确定具体工作人员定期按时报送部门信息，街道指定专人负责保密审查的日常工作，在信息上网之前履行审查审批手续，严把信息发布审核关，做到了无涉密事件的发生，形成了层层抓落实的格局，使政务公开在领导机构、工作人员和办公设备等方面都得到了充分保障，进一步优化了政务环境、规范政务信息公开工作。2、强化学习，提高认识。强化《中华人民共和国政府信息公开条例》及政府信息公开工作相关文件学习，认真领会实质，严格把握要求，增强推进政务公开的历史使命感和政治责任感。3、拓宽渠道，加强宣传。利用信息化手段丰富信息公开形式，拓宽信息公开渠道，现代方法和传统方法相结合，加大宣传力度，营造良好氛围，确保政府信息公开工作有序进展。一是把网站作为公开信息的重要途径，设立政府信息公开栏，将公开信息编制公开目录，逐一网上发布。二是有效发挥微信、广播、黑板报、公示栏等宣传方法的作用。三是设立投诉信箱、举报、监督电话等。四是注重村级会议公开的作用。让不同层次的群众通过不同的渠道获取信息，自觉接受群众的监督。</w:t>
      </w:r>
    </w:p>
    <w:p>
      <w:pPr>
        <w:pStyle w:val="2"/>
        <w:keepNext w:val="0"/>
        <w:keepLines w:val="0"/>
        <w:widowControl/>
        <w:suppressLineNumbers w:val="0"/>
        <w:spacing w:before="0" w:beforeAutospacing="0" w:after="0" w:afterAutospacing="0" w:line="585" w:lineRule="atLeast"/>
        <w:ind w:left="0" w:right="0" w:firstLine="645"/>
        <w:rPr>
          <w:rFonts w:hint="eastAsia" w:ascii="方正楷体简体" w:hAnsi="方正楷体简体" w:eastAsia="方正楷体简体" w:cs="方正楷体简体"/>
          <w:b/>
          <w:bCs w:val="0"/>
          <w:i w:val="0"/>
          <w:iCs w:val="0"/>
          <w:caps w:val="0"/>
          <w:color w:val="000000"/>
          <w:spacing w:val="0"/>
          <w:sz w:val="32"/>
          <w:szCs w:val="32"/>
        </w:rPr>
      </w:pPr>
      <w:r>
        <w:rPr>
          <w:rStyle w:val="5"/>
          <w:rFonts w:hint="eastAsia" w:ascii="方正楷体简体" w:hAnsi="方正楷体简体" w:eastAsia="方正楷体简体" w:cs="方正楷体简体"/>
          <w:b/>
          <w:bCs w:val="0"/>
          <w:i w:val="0"/>
          <w:iCs w:val="0"/>
          <w:caps w:val="0"/>
          <w:color w:val="000000"/>
          <w:spacing w:val="0"/>
          <w:sz w:val="32"/>
          <w:szCs w:val="32"/>
        </w:rPr>
        <w:t>（一）主动公开情况</w:t>
      </w:r>
    </w:p>
    <w:p>
      <w:pPr>
        <w:pStyle w:val="2"/>
        <w:keepNext w:val="0"/>
        <w:keepLines w:val="0"/>
        <w:widowControl/>
        <w:suppressLineNumbers w:val="0"/>
        <w:spacing w:before="0" w:beforeAutospacing="0" w:after="0" w:afterAutospacing="0" w:line="420" w:lineRule="atLeast"/>
        <w:ind w:left="630" w:right="0" w:firstLine="0"/>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1、许庄街道全面建成小康社会大事记：8条</w:t>
      </w:r>
    </w:p>
    <w:p>
      <w:pPr>
        <w:pStyle w:val="2"/>
        <w:keepNext w:val="0"/>
        <w:keepLines w:val="0"/>
        <w:widowControl/>
        <w:suppressLineNumbers w:val="0"/>
        <w:spacing w:before="0" w:beforeAutospacing="0" w:after="0" w:afterAutospacing="0" w:line="420"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2、许庄街道2021年绩效目标：39条</w:t>
      </w:r>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3、辖区内村居大事记：26条</w:t>
      </w:r>
    </w:p>
    <w:p>
      <w:pPr>
        <w:pStyle w:val="2"/>
        <w:keepNext w:val="0"/>
        <w:keepLines w:val="0"/>
        <w:widowControl/>
        <w:suppressLineNumbers w:val="0"/>
        <w:spacing w:before="0" w:beforeAutospacing="0" w:after="0" w:afterAutospacing="0" w:line="585" w:lineRule="atLeast"/>
        <w:ind w:left="0" w:right="0" w:firstLine="645"/>
        <w:rPr>
          <w:rFonts w:hint="eastAsia" w:ascii="方正楷体简体" w:hAnsi="方正楷体简体" w:eastAsia="方正楷体简体" w:cs="方正楷体简体"/>
          <w:b/>
          <w:bCs w:val="0"/>
          <w:i w:val="0"/>
          <w:iCs w:val="0"/>
          <w:caps w:val="0"/>
          <w:color w:val="000000"/>
          <w:spacing w:val="0"/>
          <w:sz w:val="32"/>
          <w:szCs w:val="32"/>
        </w:rPr>
      </w:pPr>
      <w:r>
        <w:rPr>
          <w:rStyle w:val="5"/>
          <w:rFonts w:hint="eastAsia" w:ascii="方正楷体简体" w:hAnsi="方正楷体简体" w:eastAsia="方正楷体简体" w:cs="方正楷体简体"/>
          <w:b/>
          <w:bCs w:val="0"/>
          <w:i w:val="0"/>
          <w:iCs w:val="0"/>
          <w:caps w:val="0"/>
          <w:color w:val="000000"/>
          <w:spacing w:val="0"/>
          <w:sz w:val="32"/>
          <w:szCs w:val="32"/>
        </w:rPr>
        <w:t>（二）依申请公开情况</w:t>
      </w:r>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无。</w:t>
      </w:r>
    </w:p>
    <w:p>
      <w:pPr>
        <w:pStyle w:val="2"/>
        <w:keepNext w:val="0"/>
        <w:keepLines w:val="0"/>
        <w:widowControl/>
        <w:suppressLineNumbers w:val="0"/>
        <w:spacing w:before="0" w:beforeAutospacing="0" w:after="0" w:afterAutospacing="0" w:line="585" w:lineRule="atLeast"/>
        <w:ind w:left="0" w:right="0" w:firstLine="645"/>
        <w:rPr>
          <w:rFonts w:hint="eastAsia" w:ascii="方正楷体简体" w:hAnsi="方正楷体简体" w:eastAsia="方正楷体简体" w:cs="方正楷体简体"/>
          <w:b/>
          <w:bCs w:val="0"/>
          <w:i w:val="0"/>
          <w:iCs w:val="0"/>
          <w:caps w:val="0"/>
          <w:color w:val="000000"/>
          <w:spacing w:val="0"/>
          <w:sz w:val="32"/>
          <w:szCs w:val="32"/>
        </w:rPr>
      </w:pPr>
      <w:r>
        <w:rPr>
          <w:rStyle w:val="5"/>
          <w:rFonts w:hint="eastAsia" w:ascii="方正楷体简体" w:hAnsi="方正楷体简体" w:eastAsia="方正楷体简体" w:cs="方正楷体简体"/>
          <w:b/>
          <w:bCs w:val="0"/>
          <w:i w:val="0"/>
          <w:iCs w:val="0"/>
          <w:caps w:val="0"/>
          <w:color w:val="000000"/>
          <w:spacing w:val="0"/>
          <w:sz w:val="32"/>
          <w:szCs w:val="32"/>
        </w:rPr>
        <w:t>（三）政府信息管理情况</w:t>
      </w:r>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目前，政府信息公开正逐步建设并公开政务信息资源，拓展政务公开的内容范围，为社会提供一条龙、全天候、多层次、综合性、有价值的信息服务，已满足信息社会里公众对政府管理的透明度和政府服务的便捷性的日益攀升的需求</w:t>
      </w:r>
      <w:r>
        <w:rPr>
          <w:rStyle w:val="5"/>
          <w:rFonts w:hint="eastAsia" w:ascii="方正仿宋简体" w:hAnsi="方正仿宋简体" w:eastAsia="方正仿宋简体" w:cs="方正仿宋简体"/>
          <w:b/>
          <w:bCs w:val="0"/>
          <w:i w:val="0"/>
          <w:iCs w:val="0"/>
          <w:caps w:val="0"/>
          <w:color w:val="000000"/>
          <w:spacing w:val="-15"/>
          <w:sz w:val="32"/>
          <w:szCs w:val="32"/>
        </w:rPr>
        <w:t>。</w:t>
      </w:r>
    </w:p>
    <w:p>
      <w:pPr>
        <w:pStyle w:val="2"/>
        <w:keepNext w:val="0"/>
        <w:keepLines w:val="0"/>
        <w:widowControl/>
        <w:suppressLineNumbers w:val="0"/>
        <w:spacing w:before="0" w:beforeAutospacing="0" w:after="0" w:afterAutospacing="0" w:line="585" w:lineRule="atLeast"/>
        <w:ind w:left="0" w:right="0" w:firstLine="645"/>
        <w:rPr>
          <w:rFonts w:hint="eastAsia" w:ascii="方正楷体简体" w:hAnsi="方正楷体简体" w:eastAsia="方正楷体简体" w:cs="方正楷体简体"/>
          <w:b/>
          <w:bCs w:val="0"/>
          <w:i w:val="0"/>
          <w:iCs w:val="0"/>
          <w:caps w:val="0"/>
          <w:color w:val="000000"/>
          <w:spacing w:val="0"/>
          <w:sz w:val="32"/>
          <w:szCs w:val="32"/>
        </w:rPr>
      </w:pPr>
      <w:r>
        <w:rPr>
          <w:rStyle w:val="5"/>
          <w:rFonts w:hint="eastAsia" w:ascii="方正楷体简体" w:hAnsi="方正楷体简体" w:eastAsia="方正楷体简体" w:cs="方正楷体简体"/>
          <w:b/>
          <w:bCs w:val="0"/>
          <w:i w:val="0"/>
          <w:iCs w:val="0"/>
          <w:caps w:val="0"/>
          <w:color w:val="000000"/>
          <w:spacing w:val="0"/>
          <w:sz w:val="32"/>
          <w:szCs w:val="32"/>
        </w:rPr>
        <w:t>（四）政府信息公开平台建设情况</w:t>
      </w:r>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强化政府网站建设管理。认真落实省市相关规定，进一步规范平台建设，加强政府网站内容建设和管理。</w:t>
      </w:r>
    </w:p>
    <w:p>
      <w:pPr>
        <w:pStyle w:val="2"/>
        <w:keepNext w:val="0"/>
        <w:keepLines w:val="0"/>
        <w:widowControl/>
        <w:suppressLineNumbers w:val="0"/>
        <w:spacing w:before="0" w:beforeAutospacing="0" w:after="0" w:afterAutospacing="0" w:line="585" w:lineRule="atLeast"/>
        <w:ind w:left="0" w:right="0" w:firstLine="645"/>
        <w:rPr>
          <w:rFonts w:hint="eastAsia" w:ascii="方正楷体简体" w:hAnsi="方正楷体简体" w:eastAsia="方正楷体简体" w:cs="方正楷体简体"/>
          <w:b/>
          <w:bCs w:val="0"/>
          <w:i w:val="0"/>
          <w:iCs w:val="0"/>
          <w:caps w:val="0"/>
          <w:color w:val="000000"/>
          <w:spacing w:val="0"/>
          <w:sz w:val="32"/>
          <w:szCs w:val="32"/>
        </w:rPr>
      </w:pPr>
      <w:r>
        <w:rPr>
          <w:rStyle w:val="5"/>
          <w:rFonts w:hint="eastAsia" w:ascii="方正楷体简体" w:hAnsi="方正楷体简体" w:eastAsia="方正楷体简体" w:cs="方正楷体简体"/>
          <w:b/>
          <w:bCs w:val="0"/>
          <w:i w:val="0"/>
          <w:iCs w:val="0"/>
          <w:caps w:val="0"/>
          <w:color w:val="000000"/>
          <w:spacing w:val="0"/>
          <w:sz w:val="32"/>
          <w:szCs w:val="32"/>
        </w:rPr>
        <w:t>（五）监督保障情况</w:t>
      </w:r>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一是加强组织领导，完善工作机制。我街道领导班子对我街道政务公开工作高度重视。各部门确定具体工作人员定期按时报送部门信息，街道指定专人负责保密审查的日常工作，在信息上网之前履行审查审批手续，严把信息发布审核关，做到了无涉密事件的发生，形成了层层抓落实的格局，使政务公开在领导机构、工作人员和办公设备等方面都得到了充分保障，进一步优化了政务环境、规范政务信息公开工作。二是强化学习，提高认识。强化《中华人民共和国政府信息公开条例》及政府信息公开工作相关文件学习，认真领会实质，严格把握要求，增强推进政务公开的历史使命感和政治责任感。</w:t>
      </w:r>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黑体简体" w:hAnsi="方正黑体简体" w:eastAsia="方正黑体简体" w:cs="方正黑体简体"/>
          <w:b/>
          <w:bCs w:val="0"/>
          <w:i w:val="0"/>
          <w:iCs w:val="0"/>
          <w:caps w:val="0"/>
          <w:color w:val="000000"/>
          <w:spacing w:val="0"/>
          <w:sz w:val="32"/>
          <w:szCs w:val="32"/>
        </w:rPr>
        <w:t>二、主动公开政府信息情况</w:t>
      </w:r>
    </w:p>
    <w:tbl>
      <w:tblPr>
        <w:tblStyle w:val="3"/>
        <w:tblW w:w="795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991"/>
        <w:gridCol w:w="1752"/>
        <w:gridCol w:w="2216"/>
        <w:gridCol w:w="19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950" w:type="dxa"/>
            <w:gridSpan w:val="4"/>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黑体简体" w:hAnsi="方正黑体简体" w:eastAsia="方正黑体简体" w:cs="方正黑体简体"/>
                <w:b/>
                <w:bCs w:val="0"/>
                <w:sz w:val="24"/>
                <w:szCs w:val="24"/>
              </w:rPr>
              <w:t>第二十条第（一）项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信息内容</w:t>
            </w:r>
          </w:p>
        </w:tc>
        <w:tc>
          <w:tcPr>
            <w:tcW w:w="1755"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本年制发件数</w:t>
            </w:r>
          </w:p>
        </w:tc>
        <w:tc>
          <w:tcPr>
            <w:tcW w:w="2220"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本年废止件数</w:t>
            </w:r>
          </w:p>
        </w:tc>
        <w:tc>
          <w:tcPr>
            <w:tcW w:w="1995" w:type="dxa"/>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现行有效件数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规章</w:t>
            </w:r>
          </w:p>
        </w:tc>
        <w:tc>
          <w:tcPr>
            <w:tcW w:w="175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行政规范性文件</w:t>
            </w:r>
          </w:p>
        </w:tc>
        <w:tc>
          <w:tcPr>
            <w:tcW w:w="175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0</w:t>
            </w:r>
          </w:p>
        </w:tc>
        <w:tc>
          <w:tcPr>
            <w:tcW w:w="222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0</w:t>
            </w:r>
          </w:p>
        </w:tc>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950"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黑体简体" w:hAnsi="方正黑体简体" w:eastAsia="方正黑体简体" w:cs="方正黑体简体"/>
                <w:b/>
                <w:bCs w:val="0"/>
                <w:sz w:val="24"/>
                <w:szCs w:val="24"/>
              </w:rPr>
              <w:t>第二十条第（五）项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信息内容</w:t>
            </w:r>
          </w:p>
        </w:tc>
        <w:tc>
          <w:tcPr>
            <w:tcW w:w="595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行政许可</w:t>
            </w:r>
          </w:p>
        </w:tc>
        <w:tc>
          <w:tcPr>
            <w:tcW w:w="595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950"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黑体简体" w:hAnsi="方正黑体简体" w:eastAsia="方正黑体简体" w:cs="方正黑体简体"/>
                <w:b/>
                <w:bCs w:val="0"/>
                <w:sz w:val="24"/>
                <w:szCs w:val="24"/>
              </w:rPr>
              <w:t>第二十条第（六）项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信息内容</w:t>
            </w:r>
          </w:p>
        </w:tc>
        <w:tc>
          <w:tcPr>
            <w:tcW w:w="595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本年处理决定数量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行政处罚</w:t>
            </w:r>
          </w:p>
        </w:tc>
        <w:tc>
          <w:tcPr>
            <w:tcW w:w="595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行政强制</w:t>
            </w:r>
          </w:p>
        </w:tc>
        <w:tc>
          <w:tcPr>
            <w:tcW w:w="595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7950" w:type="dxa"/>
            <w:gridSpan w:val="4"/>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黑体简体" w:hAnsi="方正黑体简体" w:eastAsia="方正黑体简体" w:cs="方正黑体简体"/>
                <w:b/>
                <w:bCs w:val="0"/>
                <w:sz w:val="24"/>
                <w:szCs w:val="24"/>
              </w:rPr>
              <w:t>第二十条第（八）项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信息内容</w:t>
            </w:r>
          </w:p>
        </w:tc>
        <w:tc>
          <w:tcPr>
            <w:tcW w:w="595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本年收费金额（单位：万元）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5" w:hRule="atLeast"/>
          <w:jc w:val="center"/>
        </w:trPr>
        <w:tc>
          <w:tcPr>
            <w:tcW w:w="1995"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行政事业性收费</w:t>
            </w:r>
          </w:p>
        </w:tc>
        <w:tc>
          <w:tcPr>
            <w:tcW w:w="5955"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4"/>
                <w:szCs w:val="24"/>
              </w:rPr>
            </w:pPr>
            <w:r>
              <w:rPr>
                <w:rStyle w:val="5"/>
                <w:rFonts w:hint="eastAsia" w:ascii="方正仿宋简体" w:hAnsi="方正仿宋简体" w:eastAsia="方正仿宋简体" w:cs="方正仿宋简体"/>
                <w:b/>
                <w:bCs w:val="0"/>
                <w:sz w:val="24"/>
                <w:szCs w:val="24"/>
              </w:rPr>
              <w:t>0</w:t>
            </w:r>
          </w:p>
        </w:tc>
      </w:tr>
    </w:tbl>
    <w:p>
      <w:pPr>
        <w:pStyle w:val="2"/>
        <w:keepNext w:val="0"/>
        <w:keepLines w:val="0"/>
        <w:widowControl/>
        <w:suppressLineNumbers w:val="0"/>
        <w:spacing w:before="60" w:beforeAutospacing="0" w:after="60" w:afterAutospacing="0" w:line="600"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黑体简体" w:hAnsi="方正黑体简体" w:eastAsia="方正黑体简体" w:cs="方正黑体简体"/>
          <w:b/>
          <w:bCs w:val="0"/>
          <w:i w:val="0"/>
          <w:iCs w:val="0"/>
          <w:caps w:val="0"/>
          <w:color w:val="000000"/>
          <w:spacing w:val="0"/>
          <w:sz w:val="32"/>
          <w:szCs w:val="32"/>
        </w:rPr>
        <w:t>三、收到和处理政府信息公开申请情况</w:t>
      </w:r>
    </w:p>
    <w:tbl>
      <w:tblPr>
        <w:tblStyle w:val="3"/>
        <w:tblW w:w="88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4"/>
        <w:gridCol w:w="945"/>
        <w:gridCol w:w="3425"/>
        <w:gridCol w:w="480"/>
        <w:gridCol w:w="480"/>
        <w:gridCol w:w="524"/>
        <w:gridCol w:w="539"/>
        <w:gridCol w:w="569"/>
        <w:gridCol w:w="569"/>
        <w:gridCol w:w="5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34" w:type="dxa"/>
            <w:gridSpan w:val="3"/>
            <w:vMerge w:val="restar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黑体简体" w:hAnsi="方正黑体简体" w:eastAsia="方正黑体简体" w:cs="方正黑体简体"/>
                <w:b/>
                <w:bCs w:val="0"/>
                <w:sz w:val="21"/>
                <w:szCs w:val="21"/>
              </w:rPr>
              <w:t>（本列数据的勾稽关系为：第一项加第二项之和，等于第三项加第四项之和）</w:t>
            </w:r>
          </w:p>
        </w:tc>
        <w:tc>
          <w:tcPr>
            <w:tcW w:w="3686" w:type="dxa"/>
            <w:gridSpan w:val="7"/>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黑体简体" w:hAnsi="方正黑体简体" w:eastAsia="方正黑体简体" w:cs="方正黑体简体"/>
                <w:b/>
                <w:bCs w:val="0"/>
                <w:sz w:val="21"/>
                <w:szCs w:val="21"/>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5134"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方正仿宋简体" w:hAnsi="方正仿宋简体" w:eastAsia="方正仿宋简体" w:cs="方正仿宋简体"/>
                <w:b/>
                <w:bCs w:val="0"/>
                <w:sz w:val="21"/>
                <w:szCs w:val="21"/>
              </w:rPr>
            </w:pPr>
          </w:p>
        </w:tc>
        <w:tc>
          <w:tcPr>
            <w:tcW w:w="480"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sz w:val="21"/>
                <w:szCs w:val="21"/>
              </w:rPr>
              <w:t>自然人</w:t>
            </w:r>
          </w:p>
        </w:tc>
        <w:tc>
          <w:tcPr>
            <w:tcW w:w="2681"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sz w:val="21"/>
                <w:szCs w:val="21"/>
              </w:rPr>
              <w:t>法人或其他组织</w:t>
            </w:r>
          </w:p>
        </w:tc>
        <w:tc>
          <w:tcPr>
            <w:tcW w:w="525" w:type="dxa"/>
            <w:vMerge w:val="restart"/>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黑体简体" w:hAnsi="方正黑体简体" w:eastAsia="方正黑体简体" w:cs="方正黑体简体"/>
                <w:b/>
                <w:bCs w:val="0"/>
                <w:sz w:val="21"/>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735" w:hRule="atLeast"/>
          <w:jc w:val="center"/>
        </w:trPr>
        <w:tc>
          <w:tcPr>
            <w:tcW w:w="5134" w:type="dxa"/>
            <w:gridSpan w:val="3"/>
            <w:vMerge w:val="continue"/>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方正仿宋简体" w:hAnsi="方正仿宋简体" w:eastAsia="方正仿宋简体" w:cs="方正仿宋简体"/>
                <w:b/>
                <w:bCs w:val="0"/>
                <w:sz w:val="21"/>
                <w:szCs w:val="21"/>
              </w:rPr>
            </w:pPr>
          </w:p>
        </w:tc>
        <w:tc>
          <w:tcPr>
            <w:tcW w:w="480"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黑体简体" w:hAnsi="方正黑体简体" w:eastAsia="方正黑体简体" w:cs="方正黑体简体"/>
                <w:b/>
                <w:bCs w:val="0"/>
                <w:sz w:val="21"/>
                <w:szCs w:val="21"/>
              </w:rPr>
            </w:pP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sz w:val="21"/>
                <w:szCs w:val="21"/>
              </w:rPr>
              <w:t>商业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sz w:val="21"/>
                <w:szCs w:val="21"/>
              </w:rPr>
              <w:t>企业</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sz w:val="21"/>
                <w:szCs w:val="21"/>
              </w:rPr>
              <w:t>科研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sz w:val="21"/>
                <w:szCs w:val="21"/>
              </w:rPr>
              <w:t>机构</w:t>
            </w:r>
          </w:p>
        </w:tc>
        <w:tc>
          <w:tcPr>
            <w:tcW w:w="539"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sz w:val="21"/>
                <w:szCs w:val="21"/>
              </w:rPr>
              <w:t>社会公益组织</w:t>
            </w:r>
          </w:p>
        </w:tc>
        <w:tc>
          <w:tcPr>
            <w:tcW w:w="569"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sz w:val="21"/>
                <w:szCs w:val="21"/>
              </w:rPr>
              <w:t>法律服务机构</w:t>
            </w:r>
          </w:p>
        </w:tc>
        <w:tc>
          <w:tcPr>
            <w:tcW w:w="569"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sz w:val="21"/>
                <w:szCs w:val="21"/>
              </w:rPr>
              <w:t>其他</w:t>
            </w:r>
          </w:p>
        </w:tc>
        <w:tc>
          <w:tcPr>
            <w:tcW w:w="525" w:type="dxa"/>
            <w:vMerge w:val="continue"/>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20" w:hRule="atLeast"/>
          <w:jc w:val="center"/>
        </w:trPr>
        <w:tc>
          <w:tcPr>
            <w:tcW w:w="5134"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一、本年新收政府信息公开申请数量</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90" w:hRule="atLeast"/>
          <w:jc w:val="center"/>
        </w:trPr>
        <w:tc>
          <w:tcPr>
            <w:tcW w:w="5134"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二、上年结转政府信息公开申请数量</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4"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三、本年度办理结果</w:t>
            </w:r>
          </w:p>
        </w:tc>
        <w:tc>
          <w:tcPr>
            <w:tcW w:w="4370"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（一）予以公开</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0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4370"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（二）部分公开（区分处理的，只计这一情形，不计其他情形）</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 </w:t>
            </w: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（三）不予公开</w:t>
            </w: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1.属于国家秘密</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single" w:color="auto" w:sz="6" w:space="0"/>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2.其他法律行政法规禁止公开</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3.危及“三安全一稳定”</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4.保护第三方合法权益</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5.属于三类内部事务信息</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6.属于四类过程性信息</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7.属于行政执法案卷</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8.属于行政查询事项</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（四）无法提供</w:t>
            </w: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1.本机关不掌握相关政府信息</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2.没有现成信息需要另行制作</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45"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3.补正后申请内容仍不明确</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4"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keepNext w:val="0"/>
              <w:keepLines w:val="0"/>
              <w:widowControl/>
              <w:suppressLineNumbers w:val="0"/>
              <w:jc w:val="left"/>
              <w:rPr>
                <w:rFonts w:hint="eastAsia" w:ascii="方正仿宋简体" w:hAnsi="方正仿宋简体" w:eastAsia="方正仿宋简体" w:cs="方正仿宋简体"/>
                <w:b/>
                <w:bCs w:val="0"/>
                <w:sz w:val="21"/>
                <w:szCs w:val="21"/>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（五）不予处理</w:t>
            </w: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1.信访举报投诉类申请</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2.重复申请</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3.要求提供公开出版物</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eastAsia" w:ascii="方正仿宋简体" w:hAnsi="方正仿宋简体" w:eastAsia="方正仿宋简体" w:cs="方正仿宋简体"/>
                <w:b/>
                <w:bCs w:val="0"/>
                <w:kern w:val="0"/>
                <w:sz w:val="21"/>
                <w:szCs w:val="21"/>
                <w:lang w:val="en-US" w:eastAsia="zh-CN" w:bidi="ar"/>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4.无正当理由大量反复申请</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eastAsia" w:ascii="方正仿宋简体" w:hAnsi="方正仿宋简体" w:eastAsia="方正仿宋简体" w:cs="方正仿宋简体"/>
                <w:b/>
                <w:bCs w:val="0"/>
                <w:kern w:val="0"/>
                <w:sz w:val="21"/>
                <w:szCs w:val="21"/>
                <w:lang w:val="en-US" w:eastAsia="zh-CN" w:bidi="ar"/>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80"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5.要求行政机关确认或重新出具已获取信息</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eastAsia" w:ascii="方正仿宋简体" w:hAnsi="方正仿宋简体" w:eastAsia="方正仿宋简体" w:cs="方正仿宋简体"/>
                <w:b/>
                <w:bCs w:val="0"/>
                <w:kern w:val="0"/>
                <w:sz w:val="21"/>
                <w:szCs w:val="21"/>
                <w:lang w:val="en-US" w:eastAsia="zh-CN" w:bidi="ar"/>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restart"/>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（六）其他处理</w:t>
            </w: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1.申请人无正当理由逾期不补正、行政机关不再处理其政府信息公开申请</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eastAsia" w:ascii="方正仿宋简体" w:hAnsi="方正仿宋简体" w:eastAsia="方正仿宋简体" w:cs="方正仿宋简体"/>
                <w:b/>
                <w:bCs w:val="0"/>
                <w:kern w:val="0"/>
                <w:sz w:val="21"/>
                <w:szCs w:val="21"/>
                <w:lang w:val="en-US" w:eastAsia="zh-CN" w:bidi="ar"/>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48" w:hRule="atLeast"/>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2.申请人逾期未按收费通知要求缴纳费用、行政机关不再处理其政府信息公开申请</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center"/>
              <w:rPr>
                <w:rFonts w:hint="eastAsia" w:ascii="方正仿宋简体" w:hAnsi="方正仿宋简体" w:eastAsia="方正仿宋简体" w:cs="方正仿宋简体"/>
                <w:b/>
                <w:bCs w:val="0"/>
                <w:kern w:val="0"/>
                <w:sz w:val="21"/>
                <w:szCs w:val="21"/>
                <w:lang w:val="en-US" w:eastAsia="zh-CN" w:bidi="ar"/>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945"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34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3.其他</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4" w:type="dxa"/>
            <w:vMerge w:val="continue"/>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rPr>
                <w:rFonts w:hint="eastAsia" w:ascii="方正仿宋简体" w:hAnsi="方正仿宋简体" w:eastAsia="方正仿宋简体" w:cs="方正仿宋简体"/>
                <w:b/>
                <w:bCs w:val="0"/>
                <w:sz w:val="21"/>
                <w:szCs w:val="21"/>
              </w:rPr>
            </w:pPr>
          </w:p>
        </w:tc>
        <w:tc>
          <w:tcPr>
            <w:tcW w:w="4370" w:type="dxa"/>
            <w:gridSpan w:val="2"/>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（七）总计</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134" w:type="dxa"/>
            <w:gridSpan w:val="3"/>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四、结转下年度继续办理</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480"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4"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3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69"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c>
          <w:tcPr>
            <w:tcW w:w="525" w:type="dxa"/>
            <w:tcBorders>
              <w:top w:val="nil"/>
              <w:left w:val="single" w:color="auto" w:sz="6" w:space="0"/>
              <w:bottom w:val="single" w:color="auto" w:sz="6" w:space="0"/>
              <w:right w:val="single" w:color="auto" w:sz="6" w:space="0"/>
            </w:tcBorders>
            <w:shd w:val="clear" w:color="auto" w:fill="auto"/>
            <w:tcMar>
              <w:top w:w="0" w:type="dxa"/>
              <w:left w:w="60" w:type="dxa"/>
              <w:bottom w:w="0" w:type="dxa"/>
              <w:right w:w="6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sz w:val="21"/>
                <w:szCs w:val="21"/>
              </w:rPr>
              <w:t>0</w:t>
            </w:r>
          </w:p>
        </w:tc>
      </w:tr>
    </w:tbl>
    <w:p>
      <w:pPr>
        <w:pStyle w:val="2"/>
        <w:keepNext w:val="0"/>
        <w:keepLines w:val="0"/>
        <w:widowControl/>
        <w:suppressLineNumbers w:val="0"/>
        <w:spacing w:before="0" w:beforeAutospacing="0" w:after="0" w:afterAutospacing="0" w:line="585" w:lineRule="atLeast"/>
        <w:ind w:left="0" w:right="0" w:firstLine="645"/>
        <w:rPr>
          <w:rFonts w:hint="eastAsia" w:ascii="方正黑体简体" w:hAnsi="方正黑体简体" w:eastAsia="方正黑体简体" w:cs="方正黑体简体"/>
          <w:b/>
          <w:bCs w:val="0"/>
          <w:i w:val="0"/>
          <w:iCs w:val="0"/>
          <w:caps w:val="0"/>
          <w:color w:val="000000"/>
          <w:spacing w:val="0"/>
          <w:sz w:val="32"/>
          <w:szCs w:val="32"/>
        </w:rPr>
      </w:pPr>
      <w:r>
        <w:rPr>
          <w:rStyle w:val="5"/>
          <w:rFonts w:hint="eastAsia" w:ascii="方正黑体简体" w:hAnsi="方正黑体简体" w:eastAsia="方正黑体简体" w:cs="方正黑体简体"/>
          <w:b/>
          <w:bCs w:val="0"/>
          <w:i w:val="0"/>
          <w:iCs w:val="0"/>
          <w:caps w:val="0"/>
          <w:color w:val="000000"/>
          <w:spacing w:val="0"/>
          <w:sz w:val="32"/>
          <w:szCs w:val="32"/>
        </w:rPr>
        <w:t>四、政府信息公开行政复议、行政诉讼情况</w:t>
      </w:r>
    </w:p>
    <w:tbl>
      <w:tblPr>
        <w:tblStyle w:val="3"/>
        <w:tblW w:w="880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5"/>
        <w:gridCol w:w="585"/>
        <w:gridCol w:w="600"/>
        <w:gridCol w:w="570"/>
        <w:gridCol w:w="540"/>
        <w:gridCol w:w="585"/>
        <w:gridCol w:w="615"/>
        <w:gridCol w:w="630"/>
        <w:gridCol w:w="585"/>
        <w:gridCol w:w="450"/>
        <w:gridCol w:w="570"/>
        <w:gridCol w:w="570"/>
        <w:gridCol w:w="645"/>
        <w:gridCol w:w="705"/>
        <w:gridCol w:w="5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940" w:type="dxa"/>
            <w:gridSpan w:val="5"/>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行政复议</w:t>
            </w:r>
          </w:p>
        </w:tc>
        <w:tc>
          <w:tcPr>
            <w:tcW w:w="5865" w:type="dxa"/>
            <w:gridSpan w:val="10"/>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4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结果维持</w:t>
            </w:r>
          </w:p>
        </w:tc>
        <w:tc>
          <w:tcPr>
            <w:tcW w:w="585" w:type="dxa"/>
            <w:vMerge w:val="restart"/>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纠正</w:t>
            </w:r>
          </w:p>
        </w:tc>
        <w:tc>
          <w:tcPr>
            <w:tcW w:w="60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5"/>
                <w:rFonts w:hint="eastAsia" w:ascii="方正黑体简体" w:hAnsi="方正黑体简体" w:eastAsia="方正黑体简体" w:cs="方正黑体简体"/>
                <w:b/>
                <w:bCs w:val="0"/>
                <w:i w:val="0"/>
                <w:iCs w:val="0"/>
                <w:caps w:val="0"/>
                <w:color w:val="000000"/>
                <w:spacing w:val="0"/>
                <w:sz w:val="21"/>
                <w:szCs w:val="21"/>
                <w:lang w:eastAsia="zh-CN"/>
              </w:rPr>
            </w:pPr>
            <w:r>
              <w:rPr>
                <w:rStyle w:val="5"/>
                <w:rFonts w:hint="eastAsia" w:ascii="方正黑体简体" w:hAnsi="方正黑体简体" w:eastAsia="方正黑体简体" w:cs="方正黑体简体"/>
                <w:b/>
                <w:bCs w:val="0"/>
                <w:i w:val="0"/>
                <w:iCs w:val="0"/>
                <w:caps w:val="0"/>
                <w:color w:val="000000"/>
                <w:spacing w:val="0"/>
                <w:sz w:val="21"/>
                <w:szCs w:val="21"/>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结果</w:t>
            </w:r>
          </w:p>
        </w:tc>
        <w:tc>
          <w:tcPr>
            <w:tcW w:w="57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5"/>
                <w:rFonts w:hint="eastAsia" w:ascii="方正黑体简体" w:hAnsi="方正黑体简体" w:eastAsia="方正黑体简体" w:cs="方正黑体简体"/>
                <w:b/>
                <w:bCs w:val="0"/>
                <w:i w:val="0"/>
                <w:iCs w:val="0"/>
                <w:caps w:val="0"/>
                <w:color w:val="000000"/>
                <w:spacing w:val="0"/>
                <w:sz w:val="21"/>
                <w:szCs w:val="21"/>
                <w:lang w:eastAsia="zh-CN"/>
              </w:rPr>
            </w:pPr>
            <w:r>
              <w:rPr>
                <w:rStyle w:val="5"/>
                <w:rFonts w:hint="eastAsia" w:ascii="方正黑体简体" w:hAnsi="方正黑体简体" w:eastAsia="方正黑体简体" w:cs="方正黑体简体"/>
                <w:b/>
                <w:bCs w:val="0"/>
                <w:i w:val="0"/>
                <w:iCs w:val="0"/>
                <w:caps w:val="0"/>
                <w:color w:val="000000"/>
                <w:spacing w:val="0"/>
                <w:sz w:val="21"/>
                <w:szCs w:val="21"/>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审结</w:t>
            </w:r>
          </w:p>
        </w:tc>
        <w:tc>
          <w:tcPr>
            <w:tcW w:w="540" w:type="dxa"/>
            <w:vMerge w:val="restart"/>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总计</w:t>
            </w:r>
          </w:p>
        </w:tc>
        <w:tc>
          <w:tcPr>
            <w:tcW w:w="2865"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未经复议直接起诉</w:t>
            </w:r>
          </w:p>
        </w:tc>
        <w:tc>
          <w:tcPr>
            <w:tcW w:w="3000" w:type="dxa"/>
            <w:gridSpan w:val="5"/>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6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方正黑体简体" w:hAnsi="方正黑体简体" w:eastAsia="方正黑体简体" w:cs="方正黑体简体"/>
                <w:b/>
                <w:bCs w:val="0"/>
                <w:i w:val="0"/>
                <w:iCs w:val="0"/>
                <w:caps w:val="0"/>
                <w:color w:val="000000"/>
                <w:spacing w:val="0"/>
                <w:sz w:val="21"/>
                <w:szCs w:val="21"/>
              </w:rPr>
            </w:pPr>
          </w:p>
        </w:tc>
        <w:tc>
          <w:tcPr>
            <w:tcW w:w="585" w:type="dxa"/>
            <w:vMerge w:val="continue"/>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方正黑体简体" w:hAnsi="方正黑体简体" w:eastAsia="方正黑体简体" w:cs="方正黑体简体"/>
                <w:b/>
                <w:bCs w:val="0"/>
                <w:i w:val="0"/>
                <w:iCs w:val="0"/>
                <w:caps w:val="0"/>
                <w:color w:val="000000"/>
                <w:spacing w:val="0"/>
                <w:sz w:val="21"/>
                <w:szCs w:val="21"/>
              </w:rPr>
            </w:pPr>
          </w:p>
        </w:tc>
        <w:tc>
          <w:tcPr>
            <w:tcW w:w="60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方正黑体简体" w:hAnsi="方正黑体简体" w:eastAsia="方正黑体简体" w:cs="方正黑体简体"/>
                <w:b/>
                <w:bCs w:val="0"/>
                <w:i w:val="0"/>
                <w:iCs w:val="0"/>
                <w:caps w:val="0"/>
                <w:color w:val="000000"/>
                <w:spacing w:val="0"/>
                <w:sz w:val="21"/>
                <w:szCs w:val="21"/>
              </w:rPr>
            </w:pPr>
          </w:p>
        </w:tc>
        <w:tc>
          <w:tcPr>
            <w:tcW w:w="57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方正黑体简体" w:hAnsi="方正黑体简体" w:eastAsia="方正黑体简体" w:cs="方正黑体简体"/>
                <w:b/>
                <w:bCs w:val="0"/>
                <w:i w:val="0"/>
                <w:iCs w:val="0"/>
                <w:caps w:val="0"/>
                <w:color w:val="000000"/>
                <w:spacing w:val="0"/>
                <w:sz w:val="21"/>
                <w:szCs w:val="21"/>
              </w:rPr>
            </w:pPr>
          </w:p>
        </w:tc>
        <w:tc>
          <w:tcPr>
            <w:tcW w:w="540" w:type="dxa"/>
            <w:vMerge w:val="continue"/>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rPr>
                <w:rFonts w:hint="eastAsia" w:ascii="方正黑体简体" w:hAnsi="方正黑体简体" w:eastAsia="方正黑体简体" w:cs="方正黑体简体"/>
                <w:b/>
                <w:bCs w:val="0"/>
                <w:i w:val="0"/>
                <w:iCs w:val="0"/>
                <w:caps w:val="0"/>
                <w:color w:val="000000"/>
                <w:spacing w:val="0"/>
                <w:sz w:val="21"/>
                <w:szCs w:val="21"/>
              </w:rPr>
            </w:pP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5"/>
                <w:rFonts w:hint="eastAsia" w:ascii="方正黑体简体" w:hAnsi="方正黑体简体" w:eastAsia="方正黑体简体" w:cs="方正黑体简体"/>
                <w:b/>
                <w:bCs w:val="0"/>
                <w:i w:val="0"/>
                <w:iCs w:val="0"/>
                <w:caps w:val="0"/>
                <w:color w:val="000000"/>
                <w:spacing w:val="0"/>
                <w:sz w:val="21"/>
                <w:szCs w:val="21"/>
                <w:lang w:eastAsia="zh-CN"/>
              </w:rPr>
            </w:pPr>
            <w:r>
              <w:rPr>
                <w:rStyle w:val="5"/>
                <w:rFonts w:hint="eastAsia" w:ascii="方正黑体简体" w:hAnsi="方正黑体简体" w:eastAsia="方正黑体简体" w:cs="方正黑体简体"/>
                <w:b/>
                <w:bCs w:val="0"/>
                <w:i w:val="0"/>
                <w:iCs w:val="0"/>
                <w:caps w:val="0"/>
                <w:color w:val="000000"/>
                <w:spacing w:val="0"/>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维持</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5"/>
                <w:rFonts w:hint="eastAsia" w:ascii="方正黑体简体" w:hAnsi="方正黑体简体" w:eastAsia="方正黑体简体" w:cs="方正黑体简体"/>
                <w:b/>
                <w:bCs w:val="0"/>
                <w:i w:val="0"/>
                <w:iCs w:val="0"/>
                <w:caps w:val="0"/>
                <w:color w:val="000000"/>
                <w:spacing w:val="0"/>
                <w:sz w:val="21"/>
                <w:szCs w:val="21"/>
                <w:lang w:eastAsia="zh-CN"/>
              </w:rPr>
            </w:pPr>
            <w:r>
              <w:rPr>
                <w:rStyle w:val="5"/>
                <w:rFonts w:hint="eastAsia" w:ascii="方正黑体简体" w:hAnsi="方正黑体简体" w:eastAsia="方正黑体简体" w:cs="方正黑体简体"/>
                <w:b/>
                <w:bCs w:val="0"/>
                <w:i w:val="0"/>
                <w:iCs w:val="0"/>
                <w:caps w:val="0"/>
                <w:color w:val="000000"/>
                <w:spacing w:val="0"/>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纠正</w:t>
            </w:r>
          </w:p>
        </w:tc>
        <w:tc>
          <w:tcPr>
            <w:tcW w:w="63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5"/>
                <w:rFonts w:hint="eastAsia" w:ascii="方正黑体简体" w:hAnsi="方正黑体简体" w:eastAsia="方正黑体简体" w:cs="方正黑体简体"/>
                <w:b/>
                <w:bCs w:val="0"/>
                <w:i w:val="0"/>
                <w:iCs w:val="0"/>
                <w:caps w:val="0"/>
                <w:color w:val="000000"/>
                <w:spacing w:val="0"/>
                <w:sz w:val="21"/>
                <w:szCs w:val="21"/>
                <w:lang w:eastAsia="zh-CN"/>
              </w:rPr>
            </w:pPr>
            <w:r>
              <w:rPr>
                <w:rStyle w:val="5"/>
                <w:rFonts w:hint="eastAsia" w:ascii="方正黑体简体" w:hAnsi="方正黑体简体" w:eastAsia="方正黑体简体" w:cs="方正黑体简体"/>
                <w:b/>
                <w:bCs w:val="0"/>
                <w:i w:val="0"/>
                <w:iCs w:val="0"/>
                <w:caps w:val="0"/>
                <w:color w:val="000000"/>
                <w:spacing w:val="0"/>
                <w:sz w:val="21"/>
                <w:szCs w:val="21"/>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结果</w:t>
            </w:r>
          </w:p>
        </w:tc>
        <w:tc>
          <w:tcPr>
            <w:tcW w:w="58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5"/>
                <w:rFonts w:hint="eastAsia" w:ascii="方正黑体简体" w:hAnsi="方正黑体简体" w:eastAsia="方正黑体简体" w:cs="方正黑体简体"/>
                <w:b/>
                <w:bCs w:val="0"/>
                <w:i w:val="0"/>
                <w:iCs w:val="0"/>
                <w:caps w:val="0"/>
                <w:color w:val="000000"/>
                <w:spacing w:val="0"/>
                <w:sz w:val="21"/>
                <w:szCs w:val="21"/>
                <w:lang w:eastAsia="zh-CN"/>
              </w:rPr>
            </w:pPr>
            <w:r>
              <w:rPr>
                <w:rStyle w:val="5"/>
                <w:rFonts w:hint="eastAsia" w:ascii="方正黑体简体" w:hAnsi="方正黑体简体" w:eastAsia="方正黑体简体" w:cs="方正黑体简体"/>
                <w:b/>
                <w:bCs w:val="0"/>
                <w:i w:val="0"/>
                <w:iCs w:val="0"/>
                <w:caps w:val="0"/>
                <w:color w:val="000000"/>
                <w:spacing w:val="0"/>
                <w:sz w:val="21"/>
                <w:szCs w:val="21"/>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审结</w:t>
            </w:r>
          </w:p>
        </w:tc>
        <w:tc>
          <w:tcPr>
            <w:tcW w:w="45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总计</w:t>
            </w:r>
          </w:p>
        </w:tc>
        <w:tc>
          <w:tcPr>
            <w:tcW w:w="5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5"/>
                <w:rFonts w:hint="eastAsia" w:ascii="方正黑体简体" w:hAnsi="方正黑体简体" w:eastAsia="方正黑体简体" w:cs="方正黑体简体"/>
                <w:b/>
                <w:bCs w:val="0"/>
                <w:i w:val="0"/>
                <w:iCs w:val="0"/>
                <w:caps w:val="0"/>
                <w:color w:val="000000"/>
                <w:spacing w:val="0"/>
                <w:sz w:val="21"/>
                <w:szCs w:val="21"/>
                <w:lang w:eastAsia="zh-CN"/>
              </w:rPr>
            </w:pPr>
            <w:r>
              <w:rPr>
                <w:rStyle w:val="5"/>
                <w:rFonts w:hint="eastAsia" w:ascii="方正黑体简体" w:hAnsi="方正黑体简体" w:eastAsia="方正黑体简体" w:cs="方正黑体简体"/>
                <w:b/>
                <w:bCs w:val="0"/>
                <w:i w:val="0"/>
                <w:iCs w:val="0"/>
                <w:caps w:val="0"/>
                <w:color w:val="000000"/>
                <w:spacing w:val="0"/>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维持</w:t>
            </w:r>
          </w:p>
        </w:tc>
        <w:tc>
          <w:tcPr>
            <w:tcW w:w="57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5"/>
                <w:rFonts w:hint="eastAsia" w:ascii="方正黑体简体" w:hAnsi="方正黑体简体" w:eastAsia="方正黑体简体" w:cs="方正黑体简体"/>
                <w:b/>
                <w:bCs w:val="0"/>
                <w:i w:val="0"/>
                <w:iCs w:val="0"/>
                <w:caps w:val="0"/>
                <w:color w:val="000000"/>
                <w:spacing w:val="0"/>
                <w:sz w:val="21"/>
                <w:szCs w:val="21"/>
                <w:lang w:eastAsia="zh-CN"/>
              </w:rPr>
            </w:pPr>
            <w:r>
              <w:rPr>
                <w:rStyle w:val="5"/>
                <w:rFonts w:hint="eastAsia" w:ascii="方正黑体简体" w:hAnsi="方正黑体简体" w:eastAsia="方正黑体简体" w:cs="方正黑体简体"/>
                <w:b/>
                <w:bCs w:val="0"/>
                <w:i w:val="0"/>
                <w:iCs w:val="0"/>
                <w:caps w:val="0"/>
                <w:color w:val="000000"/>
                <w:spacing w:val="0"/>
                <w:sz w:val="21"/>
                <w:szCs w:val="21"/>
              </w:rPr>
              <w:t>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纠正</w:t>
            </w:r>
          </w:p>
        </w:tc>
        <w:tc>
          <w:tcPr>
            <w:tcW w:w="64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5"/>
                <w:rFonts w:hint="eastAsia" w:ascii="方正黑体简体" w:hAnsi="方正黑体简体" w:eastAsia="方正黑体简体" w:cs="方正黑体简体"/>
                <w:b/>
                <w:bCs w:val="0"/>
                <w:i w:val="0"/>
                <w:iCs w:val="0"/>
                <w:caps w:val="0"/>
                <w:color w:val="000000"/>
                <w:spacing w:val="0"/>
                <w:sz w:val="21"/>
                <w:szCs w:val="21"/>
                <w:lang w:eastAsia="zh-CN"/>
              </w:rPr>
            </w:pPr>
            <w:r>
              <w:rPr>
                <w:rStyle w:val="5"/>
                <w:rFonts w:hint="eastAsia" w:ascii="方正黑体简体" w:hAnsi="方正黑体简体" w:eastAsia="方正黑体简体" w:cs="方正黑体简体"/>
                <w:b/>
                <w:bCs w:val="0"/>
                <w:i w:val="0"/>
                <w:iCs w:val="0"/>
                <w:caps w:val="0"/>
                <w:color w:val="000000"/>
                <w:spacing w:val="0"/>
                <w:sz w:val="21"/>
                <w:szCs w:val="21"/>
              </w:rPr>
              <w:t>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结果</w:t>
            </w:r>
          </w:p>
        </w:tc>
        <w:tc>
          <w:tcPr>
            <w:tcW w:w="70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Style w:val="5"/>
                <w:rFonts w:hint="eastAsia" w:ascii="方正黑体简体" w:hAnsi="方正黑体简体" w:eastAsia="方正黑体简体" w:cs="方正黑体简体"/>
                <w:b/>
                <w:bCs w:val="0"/>
                <w:i w:val="0"/>
                <w:iCs w:val="0"/>
                <w:caps w:val="0"/>
                <w:color w:val="000000"/>
                <w:spacing w:val="0"/>
                <w:sz w:val="21"/>
                <w:szCs w:val="21"/>
                <w:lang w:eastAsia="zh-CN"/>
              </w:rPr>
            </w:pPr>
            <w:r>
              <w:rPr>
                <w:rStyle w:val="5"/>
                <w:rFonts w:hint="eastAsia" w:ascii="方正黑体简体" w:hAnsi="方正黑体简体" w:eastAsia="方正黑体简体" w:cs="方正黑体简体"/>
                <w:b/>
                <w:bCs w:val="0"/>
                <w:i w:val="0"/>
                <w:iCs w:val="0"/>
                <w:caps w:val="0"/>
                <w:color w:val="000000"/>
                <w:spacing w:val="0"/>
                <w:sz w:val="21"/>
                <w:szCs w:val="21"/>
              </w:rPr>
              <w:t>尚未</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审结</w:t>
            </w:r>
          </w:p>
        </w:tc>
        <w:tc>
          <w:tcPr>
            <w:tcW w:w="51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黑体简体" w:hAnsi="方正黑体简体" w:eastAsia="方正黑体简体" w:cs="方正黑体简体"/>
                <w:b/>
                <w:bCs w:val="0"/>
                <w:sz w:val="21"/>
                <w:szCs w:val="21"/>
              </w:rPr>
            </w:pPr>
            <w:r>
              <w:rPr>
                <w:rStyle w:val="5"/>
                <w:rFonts w:hint="eastAsia" w:ascii="方正黑体简体" w:hAnsi="方正黑体简体" w:eastAsia="方正黑体简体" w:cs="方正黑体简体"/>
                <w:b/>
                <w:bCs w:val="0"/>
                <w:i w:val="0"/>
                <w:iCs w:val="0"/>
                <w:caps w:val="0"/>
                <w:color w:val="000000"/>
                <w:spacing w:val="0"/>
                <w:sz w:val="21"/>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75" w:hRule="atLeast"/>
        </w:trPr>
        <w:tc>
          <w:tcPr>
            <w:tcW w:w="64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60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54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6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63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58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45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57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64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70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c>
          <w:tcPr>
            <w:tcW w:w="51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jc w:val="center"/>
              <w:rPr>
                <w:rFonts w:hint="eastAsia" w:ascii="方正仿宋简体" w:hAnsi="方正仿宋简体" w:eastAsia="方正仿宋简体" w:cs="方正仿宋简体"/>
                <w:b/>
                <w:bCs w:val="0"/>
                <w:sz w:val="21"/>
                <w:szCs w:val="21"/>
              </w:rPr>
            </w:pPr>
            <w:r>
              <w:rPr>
                <w:rStyle w:val="5"/>
                <w:rFonts w:hint="eastAsia" w:ascii="方正仿宋简体" w:hAnsi="方正仿宋简体" w:eastAsia="方正仿宋简体" w:cs="方正仿宋简体"/>
                <w:b/>
                <w:bCs w:val="0"/>
                <w:i w:val="0"/>
                <w:iCs w:val="0"/>
                <w:caps w:val="0"/>
                <w:color w:val="000000"/>
                <w:spacing w:val="0"/>
                <w:sz w:val="21"/>
                <w:szCs w:val="21"/>
              </w:rPr>
              <w:t>0</w:t>
            </w:r>
          </w:p>
        </w:tc>
      </w:tr>
    </w:tbl>
    <w:p>
      <w:pPr>
        <w:pStyle w:val="2"/>
        <w:keepNext w:val="0"/>
        <w:keepLines w:val="0"/>
        <w:widowControl/>
        <w:suppressLineNumbers w:val="0"/>
        <w:spacing w:before="0" w:beforeAutospacing="0" w:after="0" w:afterAutospacing="0" w:line="585" w:lineRule="atLeast"/>
        <w:ind w:left="0" w:right="0" w:firstLine="645"/>
        <w:rPr>
          <w:rFonts w:hint="eastAsia" w:ascii="方正黑体简体" w:hAnsi="方正黑体简体" w:eastAsia="方正黑体简体" w:cs="方正黑体简体"/>
          <w:b/>
          <w:bCs w:val="0"/>
          <w:i w:val="0"/>
          <w:iCs w:val="0"/>
          <w:caps w:val="0"/>
          <w:color w:val="000000"/>
          <w:spacing w:val="0"/>
          <w:sz w:val="32"/>
          <w:szCs w:val="32"/>
        </w:rPr>
      </w:pPr>
      <w:r>
        <w:rPr>
          <w:rStyle w:val="5"/>
          <w:rFonts w:hint="eastAsia" w:ascii="方正黑体简体" w:hAnsi="方正黑体简体" w:eastAsia="方正黑体简体" w:cs="方正黑体简体"/>
          <w:b/>
          <w:bCs w:val="0"/>
          <w:i w:val="0"/>
          <w:iCs w:val="0"/>
          <w:caps w:val="0"/>
          <w:color w:val="000000"/>
          <w:spacing w:val="0"/>
          <w:sz w:val="32"/>
          <w:szCs w:val="32"/>
        </w:rPr>
        <w:t>五、存在的主要问题及改进情况</w:t>
      </w:r>
    </w:p>
    <w:p>
      <w:pPr>
        <w:pStyle w:val="2"/>
        <w:keepNext w:val="0"/>
        <w:keepLines w:val="0"/>
        <w:widowControl/>
        <w:suppressLineNumbers w:val="0"/>
        <w:spacing w:before="0" w:beforeAutospacing="0" w:after="0" w:afterAutospacing="0" w:line="420"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我街道办事处信息公开工作中存在的主要问题：1、对政府信息公开意识有待进一步提高。2、政务信息公开培训工作还需要加强，政务信息公开整体工作水平仍需提升。</w:t>
      </w:r>
    </w:p>
    <w:p>
      <w:pPr>
        <w:pStyle w:val="2"/>
        <w:keepNext w:val="0"/>
        <w:keepLines w:val="0"/>
        <w:widowControl/>
        <w:suppressLineNumbers w:val="0"/>
        <w:spacing w:before="0" w:beforeAutospacing="0" w:after="0" w:afterAutospacing="0" w:line="420"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改进措施：进一步组织学习《中华人民共和国政府信息公开条例》，规范公开内容，提高公开质量。一是加大公开力度，进一步加强对公众关注度高的政务信息的梳理，逐步扩大公开信息的覆盖面，确保公开信息的完整性和准确性。二是完善公开制度，进一步健全和完善政务信息公开各项制度，确保政务信息公开工作正常运行。</w:t>
      </w:r>
    </w:p>
    <w:p>
      <w:pPr>
        <w:pStyle w:val="2"/>
        <w:keepNext w:val="0"/>
        <w:keepLines w:val="0"/>
        <w:widowControl/>
        <w:suppressLineNumbers w:val="0"/>
        <w:spacing w:before="0" w:beforeAutospacing="0" w:after="0" w:afterAutospacing="0" w:line="585" w:lineRule="atLeast"/>
        <w:ind w:left="0" w:right="0" w:firstLine="645"/>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黑体简体" w:hAnsi="方正黑体简体" w:eastAsia="方正黑体简体" w:cs="方正黑体简体"/>
          <w:b/>
          <w:bCs w:val="0"/>
          <w:i w:val="0"/>
          <w:iCs w:val="0"/>
          <w:caps w:val="0"/>
          <w:color w:val="000000"/>
          <w:spacing w:val="0"/>
          <w:sz w:val="32"/>
          <w:szCs w:val="32"/>
        </w:rPr>
        <w:t>六、其他需要报告的事项</w:t>
      </w:r>
    </w:p>
    <w:p>
      <w:pPr>
        <w:pStyle w:val="2"/>
        <w:keepNext w:val="0"/>
        <w:keepLines w:val="0"/>
        <w:widowControl/>
        <w:suppressLineNumbers w:val="0"/>
        <w:spacing w:before="0" w:beforeAutospacing="0" w:after="0" w:afterAutospacing="0" w:line="420" w:lineRule="atLeast"/>
        <w:ind w:left="0" w:right="0" w:firstLine="0"/>
        <w:rPr>
          <w:rFonts w:hint="eastAsia" w:ascii="方正仿宋简体" w:hAnsi="方正仿宋简体" w:eastAsia="方正仿宋简体" w:cs="方正仿宋简体"/>
          <w:b/>
          <w:bCs w:val="0"/>
          <w:i w:val="0"/>
          <w:iCs w:val="0"/>
          <w:caps w:val="0"/>
          <w:color w:val="000000"/>
          <w:spacing w:val="0"/>
          <w:sz w:val="32"/>
          <w:szCs w:val="32"/>
        </w:rPr>
      </w:pPr>
      <w:r>
        <w:rPr>
          <w:rStyle w:val="5"/>
          <w:rFonts w:hint="eastAsia" w:ascii="方正仿宋简体" w:hAnsi="方正仿宋简体" w:eastAsia="方正仿宋简体" w:cs="方正仿宋简体"/>
          <w:b/>
          <w:bCs w:val="0"/>
          <w:i w:val="0"/>
          <w:iCs w:val="0"/>
          <w:caps w:val="0"/>
          <w:color w:val="000000"/>
          <w:spacing w:val="0"/>
          <w:sz w:val="32"/>
          <w:szCs w:val="32"/>
        </w:rPr>
        <w:t>      无。</w:t>
      </w:r>
    </w:p>
    <w:p>
      <w:pPr>
        <w:rPr>
          <w:rFonts w:hint="eastAsia" w:ascii="仿宋" w:hAnsi="仿宋" w:eastAsia="仿宋" w:cs="仿宋"/>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宋体-方正超大字符集">
    <w:panose1 w:val="03000509000000000000"/>
    <w:charset w:val="86"/>
    <w:family w:val="auto"/>
    <w:pitch w:val="default"/>
    <w:sig w:usb0="00000001"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文星简小标宋">
    <w:panose1 w:val="0201060900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中倩简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方正宋黑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细圆简体">
    <w:panose1 w:val="03000509000000000000"/>
    <w:charset w:val="86"/>
    <w:family w:val="auto"/>
    <w:pitch w:val="default"/>
    <w:sig w:usb0="00000001" w:usb1="080E0000" w:usb2="00000000" w:usb3="00000000" w:csb0="00040000" w:csb1="00000000"/>
  </w:font>
  <w:font w:name="方正细等线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4YjBhNTM2ZjYzZDEzMjVkOTZjZjEzMDY3ZDllNTUifQ=="/>
  </w:docVars>
  <w:rsids>
    <w:rsidRoot w:val="0AB8342E"/>
    <w:rsid w:val="0AB8342E"/>
    <w:rsid w:val="7850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2643</Words>
  <Characters>2696</Characters>
  <Lines>0</Lines>
  <Paragraphs>0</Paragraphs>
  <TotalTime>2</TotalTime>
  <ScaleCrop>false</ScaleCrop>
  <LinksUpToDate>false</LinksUpToDate>
  <CharactersWithSpaces>2707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2022-10-31T06:28:00Z</dcterms:created>
  <dc:creator>mm</dc:creator>
  <cp:lastModifiedBy>mm</cp:lastModifiedBy>
  <dcterms:modified xsi:type="dcterms:W3CDTF">2022-11-01T08:34:25Z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1BD4C1AA5FE54BE1A2E961B5023420BB</vt:lpwstr>
  </property>
</Properties>
</file>