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sz w:val="32"/>
          <w:szCs w:val="32"/>
        </w:rPr>
      </w:pP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济宁市公安局交通警察支队北湖新区勤务大队</w:t>
      </w:r>
      <w:r>
        <w:rPr>
          <w:rFonts w:hint="eastAsia" w:ascii="方正小标宋简体" w:eastAsia="方正小标宋简体"/>
          <w:b/>
          <w:color w:val="000000"/>
          <w:sz w:val="44"/>
          <w:szCs w:val="44"/>
        </w:rPr>
        <w:t>2022年政府信息公开工作年度报告</w:t>
      </w:r>
    </w:p>
    <w:p>
      <w:pPr>
        <w:spacing w:line="590" w:lineRule="exact"/>
        <w:ind w:right="-100" w:rightChars="-50" w:firstLine="640" w:firstLineChars="200"/>
        <w:rPr>
          <w:rFonts w:ascii="方正仿宋简体" w:eastAsia="方正仿宋简体"/>
          <w:b/>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u w:val="none"/>
          <w:shd w:val="clear" w:fill="FFFFFF"/>
          <w:lang w:val="en-US"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本报告由济宁市公安局交通警察支队北湖新区勤务大队按照《中华人民共和国政府信息公开条例》（以下简称《条例》）和《中华人民共和国政府信息公开工作年度报告格式》（国办公开办函〔2021〕30号）要求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u w:val="none"/>
          <w:shd w:val="clear" w:fill="FFFFFF"/>
          <w:lang w:val="en-US"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u w:val="none"/>
          <w:shd w:val="clear" w:fill="FFFFFF"/>
          <w:lang w:val="en-US"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本报告所列数据的统计期限自2022年1月1日起至2022年12月31日止。本报告电子版可在“中国·济宁”政府门户网站(http://bhdjq.jining.gov.cn/）查阅或下载。如对本报告有疑问，请与济宁市公安局交通警察支队北湖新区勤务大队联系（地址：济宁市任城区火炬路与济邹路向东500米北湖交警大队，联系电话：0537—2939601）。</w:t>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u w:val="none"/>
          <w:shd w:val="clear" w:fill="FFFFFF"/>
          <w:lang w:val="en-US"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2022年，济宁市公安局交通警察支队北湖新区勤务大队认真贯彻落实《中华人民共和国政府信息公开条例》，坚持“以公开为常态、不公开为例外”，不断拓展主动公开内容，依法依规做好主动公开工作，及时回应公众关切。</w:t>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（一）主动公开情况</w:t>
      </w:r>
    </w:p>
    <w:p>
      <w:pPr>
        <w:keepNext w:val="0"/>
        <w:keepLines w:val="0"/>
        <w:pageBreakBefore w:val="0"/>
        <w:kinsoku/>
        <w:wordWrap/>
        <w:overflowPunct/>
        <w:topLinePunct w:val="0"/>
        <w:autoSpaceDE/>
        <w:autoSpaceDN/>
        <w:bidi w:val="0"/>
        <w:adjustRightInd/>
        <w:snapToGrid/>
        <w:spacing w:line="240" w:lineRule="auto"/>
        <w:ind w:right="-100" w:rightChars="-50" w:firstLine="480" w:firstLineChars="200"/>
        <w:textAlignment w:val="auto"/>
        <w:rPr>
          <w:rFonts w:hint="eastAsia" w:ascii="微软雅黑" w:hAnsi="微软雅黑" w:eastAsia="微软雅黑" w:cs="微软雅黑"/>
          <w:i w:val="0"/>
          <w:iCs w:val="0"/>
          <w:caps w:val="0"/>
          <w:color w:val="000000"/>
          <w:spacing w:val="0"/>
          <w:sz w:val="24"/>
          <w:szCs w:val="24"/>
          <w:u w:val="none"/>
          <w:shd w:val="clear" w:fill="FFFFFF"/>
          <w:lang w:val="en-US" w:eastAsia="zh-CN"/>
        </w:rPr>
      </w:pPr>
      <w:r>
        <w:rPr>
          <w:rFonts w:hint="default" w:ascii="微软雅黑" w:hAnsi="微软雅黑" w:eastAsia="微软雅黑" w:cs="微软雅黑"/>
          <w:i w:val="0"/>
          <w:iCs w:val="0"/>
          <w:caps w:val="0"/>
          <w:color w:val="000000"/>
          <w:spacing w:val="0"/>
          <w:sz w:val="24"/>
          <w:szCs w:val="24"/>
          <w:u w:val="none"/>
          <w:shd w:val="clear" w:fill="FFFFFF"/>
          <w:lang w:val="en-US" w:eastAsia="zh-CN"/>
        </w:rPr>
        <w:t>主动公开</w:t>
      </w:r>
      <w:r>
        <w:rPr>
          <w:rFonts w:hint="eastAsia" w:ascii="微软雅黑" w:hAnsi="微软雅黑" w:eastAsia="微软雅黑" w:cs="微软雅黑"/>
          <w:i w:val="0"/>
          <w:iCs w:val="0"/>
          <w:caps w:val="0"/>
          <w:color w:val="000000"/>
          <w:spacing w:val="0"/>
          <w:sz w:val="24"/>
          <w:szCs w:val="24"/>
          <w:u w:val="none"/>
          <w:shd w:val="clear" w:fill="FFFFFF"/>
          <w:lang w:val="en-US" w:eastAsia="zh-CN"/>
        </w:rPr>
        <w:t>政府信息内容丰富、形式全面。济宁市公安局交通警察支队北湖新区勤务大队，针对公众关切，主动、及时、全面、准确发布并解读权威政府信息。全年累计主动公开信息6条。其中，政策解读类1条，财政信息类2条，政府采购类1条，机构职能类1条，主动公开基本目录1条.</w:t>
      </w:r>
    </w:p>
    <w:p>
      <w:pPr>
        <w:pStyle w:val="2"/>
        <w:rPr>
          <w:rFonts w:hint="default"/>
          <w:lang w:val="en-US" w:eastAsia="zh-CN"/>
        </w:rPr>
      </w:pPr>
      <w:r>
        <w:rPr>
          <w:rFonts w:hint="default"/>
          <w:lang w:val="en-US" w:eastAsia="zh-CN"/>
        </w:rPr>
        <w:drawing>
          <wp:inline distT="0" distB="0" distL="114300" distR="114300">
            <wp:extent cx="5080000" cy="4127500"/>
            <wp:effectExtent l="0" t="0" r="635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5080000" cy="4127500"/>
                    </a:xfrm>
                    <a:prstGeom prst="rect">
                      <a:avLst/>
                    </a:prstGeom>
                    <a:extLst>
                      <wpswe:webExtensionRef xmlns:wpswe="http://www.wps.cn/officeDocument/2018/webExtension" r:id="rId4"/>
                    </a:extLst>
                  </pic:spPr>
                </pic:pic>
              </a:graphicData>
            </a:graphic>
          </wp:inline>
        </w:drawing>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（二）依申请公开情况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iCs w:val="0"/>
          <w:caps w:val="0"/>
          <w:color w:val="000000"/>
          <w:spacing w:val="0"/>
          <w:sz w:val="24"/>
          <w:szCs w:val="24"/>
          <w:u w:val="none"/>
          <w:shd w:val="clear" w:fill="FFFFFF"/>
          <w:lang w:val="en-US" w:eastAsia="zh-CN"/>
        </w:rPr>
      </w:pPr>
      <w:r>
        <w:rPr>
          <w:rFonts w:hint="default" w:ascii="微软雅黑" w:hAnsi="微软雅黑" w:eastAsia="微软雅黑" w:cs="微软雅黑"/>
          <w:i w:val="0"/>
          <w:iCs w:val="0"/>
          <w:caps w:val="0"/>
          <w:color w:val="000000"/>
          <w:spacing w:val="0"/>
          <w:sz w:val="24"/>
          <w:szCs w:val="24"/>
          <w:u w:val="none"/>
          <w:shd w:val="clear" w:fill="FFFFFF"/>
          <w:lang w:val="en-US" w:eastAsia="zh-CN"/>
        </w:rPr>
        <w:t>按照《中华人民共和国政府信息公开条例》规定，本着为公民、法人或者其他组织获取司法行政信息提供优质高效的服务原则，依申请进行财政信息公开。20</w:t>
      </w:r>
      <w:r>
        <w:rPr>
          <w:rFonts w:hint="eastAsia" w:ascii="微软雅黑" w:hAnsi="微软雅黑" w:eastAsia="微软雅黑" w:cs="微软雅黑"/>
          <w:i w:val="0"/>
          <w:iCs w:val="0"/>
          <w:caps w:val="0"/>
          <w:color w:val="000000"/>
          <w:spacing w:val="0"/>
          <w:sz w:val="24"/>
          <w:szCs w:val="24"/>
          <w:u w:val="none"/>
          <w:shd w:val="clear" w:fill="FFFFFF"/>
          <w:lang w:val="en-US" w:eastAsia="zh-CN"/>
        </w:rPr>
        <w:t>22</w:t>
      </w:r>
      <w:r>
        <w:rPr>
          <w:rFonts w:hint="default" w:ascii="微软雅黑" w:hAnsi="微软雅黑" w:eastAsia="微软雅黑" w:cs="微软雅黑"/>
          <w:i w:val="0"/>
          <w:iCs w:val="0"/>
          <w:caps w:val="0"/>
          <w:color w:val="000000"/>
          <w:spacing w:val="0"/>
          <w:sz w:val="24"/>
          <w:szCs w:val="24"/>
          <w:u w:val="none"/>
          <w:shd w:val="clear" w:fill="FFFFFF"/>
          <w:lang w:val="en-US" w:eastAsia="zh-CN"/>
        </w:rPr>
        <w:t>年，我单位未收到政府信息公开申请。</w:t>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（三）政府信息管理情况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iCs w:val="0"/>
          <w:caps w:val="0"/>
          <w:color w:val="000000"/>
          <w:spacing w:val="0"/>
          <w:sz w:val="24"/>
          <w:szCs w:val="24"/>
          <w:u w:val="none"/>
          <w:shd w:val="clear" w:fill="FFFFFF"/>
          <w:lang w:val="en-US"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济宁市公安局交通警察支队北湖新区勤务大队高度重视政务公开工作，明确了分管领导和具体工作人员，各科室共同推进政务公开工作机制。严格落实拟公开的政府信息审核、发布和更新机制，并由专人负责信息审核和发布，按照规定做好文件保密审查、登记、公开。</w:t>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（四）政府信息公开平台建设情况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iCs w:val="0"/>
          <w:caps w:val="0"/>
          <w:color w:val="000000"/>
          <w:spacing w:val="0"/>
          <w:sz w:val="24"/>
          <w:szCs w:val="24"/>
          <w:u w:val="none"/>
          <w:shd w:val="clear" w:fill="FFFFFF"/>
          <w:lang w:val="en-US" w:eastAsia="zh-CN"/>
        </w:rPr>
      </w:pPr>
      <w:r>
        <w:rPr>
          <w:rFonts w:hint="default" w:ascii="微软雅黑" w:hAnsi="微软雅黑" w:eastAsia="微软雅黑" w:cs="微软雅黑"/>
          <w:i w:val="0"/>
          <w:iCs w:val="0"/>
          <w:caps w:val="0"/>
          <w:color w:val="000000"/>
          <w:spacing w:val="0"/>
          <w:sz w:val="24"/>
          <w:szCs w:val="24"/>
          <w:u w:val="none"/>
          <w:shd w:val="clear" w:fill="FFFFFF"/>
          <w:lang w:val="en-US" w:eastAsia="zh-CN"/>
        </w:rPr>
        <w:t>我</w:t>
      </w:r>
      <w:r>
        <w:rPr>
          <w:rFonts w:hint="eastAsia" w:ascii="微软雅黑" w:hAnsi="微软雅黑" w:eastAsia="微软雅黑" w:cs="微软雅黑"/>
          <w:i w:val="0"/>
          <w:iCs w:val="0"/>
          <w:caps w:val="0"/>
          <w:color w:val="000000"/>
          <w:spacing w:val="0"/>
          <w:sz w:val="24"/>
          <w:szCs w:val="24"/>
          <w:u w:val="none"/>
          <w:shd w:val="clear" w:fill="FFFFFF"/>
          <w:lang w:val="en-US" w:eastAsia="zh-CN"/>
        </w:rPr>
        <w:t>单位严格落实网络意识形态责任制，依托济宁市太白湖新区管委会门户网站、太白湖新区微信公号、济宁市公共资源交易中心网站等多渠道，主动、及时发布和更新政务信息。</w:t>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（五）监督保障情况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u w:val="none"/>
          <w:shd w:val="clear" w:fill="FFFFFF"/>
          <w:lang w:val="en-US"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我单位</w:t>
      </w:r>
      <w:r>
        <w:rPr>
          <w:rFonts w:hint="default" w:ascii="微软雅黑" w:hAnsi="微软雅黑" w:eastAsia="微软雅黑" w:cs="微软雅黑"/>
          <w:i w:val="0"/>
          <w:iCs w:val="0"/>
          <w:caps w:val="0"/>
          <w:color w:val="000000"/>
          <w:spacing w:val="0"/>
          <w:sz w:val="24"/>
          <w:szCs w:val="24"/>
          <w:u w:val="none"/>
          <w:shd w:val="clear" w:fill="FFFFFF"/>
          <w:lang w:val="en-US" w:eastAsia="zh-CN"/>
        </w:rPr>
        <w:t>将信息公开工作列入年度重点工作，明确信息公开工作分管领导，各科室密切配合，对依申请公开政府信息，依法依规进行保密审查和公开属性界定，严格规范公开程序。定期开展对政务公开工作的业务培训，进一步创新工作方式，稳步提高工作人员政务公开意识。</w:t>
      </w:r>
    </w:p>
    <w:p>
      <w:pPr>
        <w:spacing w:line="590" w:lineRule="exact"/>
        <w:ind w:right="-100" w:rightChars="-50" w:firstLine="560" w:firstLineChars="200"/>
        <w:rPr>
          <w:rFonts w:hint="eastAsia" w:ascii="方正黑体简体" w:eastAsia="方正黑体简体"/>
          <w:b/>
          <w:color w:val="000000"/>
          <w:sz w:val="28"/>
          <w:szCs w:val="28"/>
        </w:rPr>
      </w:pP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bookmarkStart w:id="0" w:name="_GoBack"/>
            <w:r>
              <w:rPr>
                <w:rFonts w:hint="eastAsia" w:ascii="方正黑体简体" w:hAnsi="宋体" w:eastAsia="方正黑体简体" w:cs="宋体"/>
                <w:b w:val="0"/>
                <w:bCs/>
                <w:sz w:val="24"/>
                <w:lang w:bidi="ar"/>
              </w:rPr>
              <w:t>第二十条第（一）项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信息内容</w:t>
            </w:r>
          </w:p>
        </w:tc>
        <w:tc>
          <w:tcPr>
            <w:tcW w:w="2133"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规章</w:t>
            </w:r>
          </w:p>
        </w:tc>
        <w:tc>
          <w:tcPr>
            <w:tcW w:w="2133"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c>
          <w:tcPr>
            <w:tcW w:w="2216"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c>
          <w:tcPr>
            <w:tcW w:w="1989"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行政规范性文件</w:t>
            </w:r>
          </w:p>
        </w:tc>
        <w:tc>
          <w:tcPr>
            <w:tcW w:w="2133"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c>
          <w:tcPr>
            <w:tcW w:w="2216"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c>
          <w:tcPr>
            <w:tcW w:w="1989"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行政许可</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行政处罚</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行政强制</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行政事业性收费</w:t>
            </w:r>
          </w:p>
        </w:tc>
        <w:tc>
          <w:tcPr>
            <w:tcW w:w="6338" w:type="dxa"/>
            <w:gridSpan w:val="3"/>
            <w:shd w:val="clear" w:color="auto" w:fill="auto"/>
            <w:noWrap w:val="0"/>
            <w:tcMar>
              <w:left w:w="57" w:type="dxa"/>
              <w:right w:w="57" w:type="dxa"/>
            </w:tcMar>
            <w:vAlign w:val="center"/>
          </w:tcPr>
          <w:p>
            <w:pPr>
              <w:spacing w:line="340" w:lineRule="exac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0</w:t>
            </w:r>
          </w:p>
        </w:tc>
      </w:tr>
    </w:tbl>
    <w:p>
      <w:pPr>
        <w:spacing w:before="62" w:beforeLines="10" w:after="62" w:afterLines="10" w:line="600" w:lineRule="exact"/>
        <w:ind w:firstLine="640" w:firstLineChars="200"/>
        <w:rPr>
          <w:rFonts w:hint="eastAsia" w:ascii="方正黑体简体" w:eastAsia="方正黑体简体"/>
          <w:b/>
          <w:sz w:val="32"/>
          <w:szCs w:val="32"/>
        </w:rPr>
      </w:pPr>
    </w:p>
    <w:p>
      <w:pPr>
        <w:spacing w:before="62" w:beforeLines="10" w:after="62" w:afterLines="10" w:line="600" w:lineRule="exact"/>
        <w:ind w:firstLine="640" w:firstLineChars="200"/>
        <w:rPr>
          <w:rFonts w:hint="eastAsia" w:ascii="方正黑体简体" w:eastAsia="方正黑体简体"/>
          <w:b/>
          <w:sz w:val="32"/>
          <w:szCs w:val="32"/>
        </w:rPr>
      </w:pPr>
    </w:p>
    <w:p>
      <w:pPr>
        <w:spacing w:before="62" w:beforeLines="10" w:after="62" w:afterLines="10" w:line="600" w:lineRule="exact"/>
        <w:ind w:firstLine="640" w:firstLineChars="200"/>
        <w:rPr>
          <w:rFonts w:hint="eastAsia" w:ascii="方正黑体简体" w:eastAsia="方正黑体简体"/>
          <w:b/>
          <w:sz w:val="32"/>
          <w:szCs w:val="32"/>
        </w:rPr>
      </w:pP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791"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自然人</w:t>
            </w:r>
          </w:p>
        </w:tc>
        <w:tc>
          <w:tcPr>
            <w:tcW w:w="2917" w:type="dxa"/>
            <w:gridSpan w:val="5"/>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791"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599"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商业</w:t>
            </w:r>
          </w:p>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企业</w:t>
            </w:r>
          </w:p>
        </w:tc>
        <w:tc>
          <w:tcPr>
            <w:tcW w:w="590"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科研</w:t>
            </w:r>
          </w:p>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机构</w:t>
            </w:r>
          </w:p>
        </w:tc>
        <w:tc>
          <w:tcPr>
            <w:tcW w:w="598"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社会公益组织</w:t>
            </w:r>
          </w:p>
        </w:tc>
        <w:tc>
          <w:tcPr>
            <w:tcW w:w="571"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法律服务机构</w:t>
            </w:r>
          </w:p>
        </w:tc>
        <w:tc>
          <w:tcPr>
            <w:tcW w:w="559"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三、本年度办理结果</w:t>
            </w:r>
          </w:p>
        </w:tc>
        <w:tc>
          <w:tcPr>
            <w:tcW w:w="3820" w:type="dxa"/>
            <w:gridSpan w:val="2"/>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（一）予以公开</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3820" w:type="dxa"/>
            <w:gridSpan w:val="2"/>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Calibri"/>
                <w:b/>
                <w:sz w:val="21"/>
                <w:szCs w:val="21"/>
                <w:lang w:val="en-US" w:eastAsia="zh-CN" w:bidi="ar"/>
              </w:rPr>
            </w:pPr>
          </w:p>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（三）不予公开</w:t>
            </w: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1.属于国家秘密</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3.危及“三安全一稳定”</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4.保护第三方合法权益</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5.属于三类内部事务信息</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6.属于四类过程性信息</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7.属于行政执法案卷</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8.属于行政查询事项</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（四）无法提供</w:t>
            </w: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（五）不予处理</w:t>
            </w: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1.信访举报投诉类申请</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2.重复申请</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3.要求提供公开出版物</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top"/>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restart"/>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（六）其他处理</w:t>
            </w:r>
          </w:p>
        </w:tc>
        <w:tc>
          <w:tcPr>
            <w:tcW w:w="2878"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942"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2878" w:type="dxa"/>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3.其他</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3820" w:type="dxa"/>
            <w:gridSpan w:val="2"/>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（七）总计</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0" w:firstLineChars="200"/>
        <w:rPr>
          <w:rFonts w:hint="eastAsia" w:ascii="方正黑体简体" w:eastAsia="方正黑体简体"/>
          <w:b/>
          <w:sz w:val="32"/>
          <w:szCs w:val="32"/>
        </w:rPr>
      </w:pPr>
    </w:p>
    <w:p>
      <w:pPr>
        <w:spacing w:line="590" w:lineRule="exact"/>
        <w:ind w:right="-100" w:rightChars="-50" w:firstLine="640" w:firstLineChars="200"/>
        <w:rPr>
          <w:rFonts w:hint="eastAsia" w:ascii="方正黑体简体" w:eastAsia="方正黑体简体"/>
          <w:b/>
          <w:sz w:val="32"/>
          <w:szCs w:val="32"/>
        </w:rPr>
      </w:pP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行政复议</w:t>
            </w:r>
          </w:p>
        </w:tc>
        <w:tc>
          <w:tcPr>
            <w:tcW w:w="5922" w:type="dxa"/>
            <w:gridSpan w:val="10"/>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结果维持</w:t>
            </w:r>
          </w:p>
        </w:tc>
        <w:tc>
          <w:tcPr>
            <w:tcW w:w="621" w:type="dxa"/>
            <w:vMerge w:val="restart"/>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p>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纠正</w:t>
            </w:r>
          </w:p>
        </w:tc>
        <w:tc>
          <w:tcPr>
            <w:tcW w:w="600" w:type="dxa"/>
            <w:vMerge w:val="restart"/>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其他</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p>
        </w:tc>
        <w:tc>
          <w:tcPr>
            <w:tcW w:w="591" w:type="dxa"/>
            <w:vMerge w:val="restart"/>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尚未</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审结</w:t>
            </w:r>
          </w:p>
        </w:tc>
        <w:tc>
          <w:tcPr>
            <w:tcW w:w="461" w:type="dxa"/>
            <w:vMerge w:val="restart"/>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总计</w:t>
            </w:r>
          </w:p>
        </w:tc>
        <w:tc>
          <w:tcPr>
            <w:tcW w:w="3010" w:type="dxa"/>
            <w:gridSpan w:val="5"/>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未经复议直接起诉</w:t>
            </w:r>
          </w:p>
        </w:tc>
        <w:tc>
          <w:tcPr>
            <w:tcW w:w="2912" w:type="dxa"/>
            <w:gridSpan w:val="5"/>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621" w:type="dxa"/>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600" w:type="dxa"/>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591" w:type="dxa"/>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461" w:type="dxa"/>
            <w:vMerge w:val="continue"/>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p>
        </w:tc>
        <w:tc>
          <w:tcPr>
            <w:tcW w:w="649"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维持</w:t>
            </w:r>
          </w:p>
        </w:tc>
        <w:tc>
          <w:tcPr>
            <w:tcW w:w="649"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纠正</w:t>
            </w:r>
          </w:p>
        </w:tc>
        <w:tc>
          <w:tcPr>
            <w:tcW w:w="650"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其他</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p>
        </w:tc>
        <w:tc>
          <w:tcPr>
            <w:tcW w:w="636"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尚未</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审结</w:t>
            </w:r>
          </w:p>
        </w:tc>
        <w:tc>
          <w:tcPr>
            <w:tcW w:w="426"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总计</w:t>
            </w:r>
          </w:p>
        </w:tc>
        <w:tc>
          <w:tcPr>
            <w:tcW w:w="650"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维持</w:t>
            </w:r>
          </w:p>
        </w:tc>
        <w:tc>
          <w:tcPr>
            <w:tcW w:w="650"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纠正</w:t>
            </w:r>
          </w:p>
        </w:tc>
        <w:tc>
          <w:tcPr>
            <w:tcW w:w="650"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其他</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结果</w:t>
            </w:r>
          </w:p>
        </w:tc>
        <w:tc>
          <w:tcPr>
            <w:tcW w:w="555"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尚未</w:t>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br w:type="textWrapping"/>
            </w: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审结</w:t>
            </w:r>
          </w:p>
        </w:tc>
        <w:tc>
          <w:tcPr>
            <w:tcW w:w="407" w:type="dxa"/>
            <w:noWrap w:val="0"/>
            <w:tcMar>
              <w:left w:w="108" w:type="dxa"/>
              <w:right w:w="108" w:type="dxa"/>
            </w:tcMar>
            <w:vAlign w:val="center"/>
          </w:tcPr>
          <w:p>
            <w:pPr>
              <w:widowControl/>
              <w:spacing w:line="340" w:lineRule="exact"/>
              <w:jc w:val="left"/>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21"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00"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1"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461"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49"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49"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36"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426"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5" w:type="dxa"/>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407" w:type="dxa"/>
            <w:noWrap w:val="0"/>
            <w:tcMar>
              <w:left w:w="108" w:type="dxa"/>
              <w:right w:w="108"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000000"/>
          <w:spacing w:val="0"/>
          <w:sz w:val="24"/>
          <w:szCs w:val="24"/>
          <w:u w:val="none"/>
          <w:shd w:val="clear" w:fill="FFFFFF"/>
          <w:lang w:val="en-US" w:eastAsia="zh-CN"/>
        </w:rPr>
      </w:pPr>
      <w:r>
        <w:rPr>
          <w:rFonts w:hint="default" w:ascii="微软雅黑" w:hAnsi="微软雅黑" w:eastAsia="微软雅黑" w:cs="微软雅黑"/>
          <w:i w:val="0"/>
          <w:iCs w:val="0"/>
          <w:caps w:val="0"/>
          <w:color w:val="000000"/>
          <w:spacing w:val="0"/>
          <w:sz w:val="24"/>
          <w:szCs w:val="24"/>
          <w:u w:val="none"/>
          <w:shd w:val="clear" w:fill="FFFFFF"/>
          <w:lang w:val="en-US" w:eastAsia="zh-CN"/>
        </w:rPr>
        <w:t>存在的主要问题有：</w:t>
      </w:r>
      <w:r>
        <w:rPr>
          <w:rFonts w:hint="eastAsia" w:ascii="微软雅黑" w:hAnsi="微软雅黑" w:eastAsia="微软雅黑" w:cs="微软雅黑"/>
          <w:i w:val="0"/>
          <w:iCs w:val="0"/>
          <w:caps w:val="0"/>
          <w:color w:val="000000"/>
          <w:spacing w:val="0"/>
          <w:sz w:val="24"/>
          <w:szCs w:val="24"/>
          <w:u w:val="none"/>
          <w:shd w:val="clear" w:fill="FFFFFF"/>
          <w:lang w:val="en-US" w:eastAsia="zh-CN"/>
        </w:rPr>
        <w:t>一是相关制度规范尚不健全，主动公开力度不够；二是政务公开工作力量相对薄弱，存在信息公开不全面、不及时、部分信息质量不高等问题。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黑体简体" w:eastAsia="方正黑体简体"/>
          <w:b/>
          <w:color w:val="000000"/>
          <w:sz w:val="28"/>
          <w:szCs w:val="28"/>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改进措施：</w:t>
      </w:r>
      <w:r>
        <w:rPr>
          <w:rFonts w:hint="default" w:ascii="微软雅黑" w:hAnsi="微软雅黑" w:eastAsia="微软雅黑" w:cs="微软雅黑"/>
          <w:i w:val="0"/>
          <w:iCs w:val="0"/>
          <w:caps w:val="0"/>
          <w:color w:val="000000"/>
          <w:spacing w:val="0"/>
          <w:sz w:val="24"/>
          <w:szCs w:val="24"/>
          <w:u w:val="none"/>
          <w:shd w:val="clear" w:fill="FFFFFF"/>
          <w:lang w:val="en-US" w:eastAsia="zh-CN"/>
        </w:rPr>
        <w:t>下一步，我单位将进一步增强依法公开意识，完善工作制度，不断提升政务公开的广度和深度，努力提升政务公开工作实效，切实保障人民群众</w:t>
      </w:r>
      <w:r>
        <w:rPr>
          <w:rFonts w:hint="eastAsia" w:ascii="微软雅黑" w:hAnsi="微软雅黑" w:eastAsia="微软雅黑" w:cs="微软雅黑"/>
          <w:i w:val="0"/>
          <w:iCs w:val="0"/>
          <w:caps w:val="0"/>
          <w:color w:val="000000"/>
          <w:spacing w:val="0"/>
          <w:sz w:val="24"/>
          <w:szCs w:val="24"/>
          <w:u w:val="none"/>
          <w:shd w:val="clear" w:fill="FFFFFF"/>
          <w:lang w:val="en-US" w:eastAsia="zh-CN"/>
        </w:rPr>
        <w:t>的</w:t>
      </w:r>
      <w:r>
        <w:rPr>
          <w:rFonts w:hint="default" w:ascii="微软雅黑" w:hAnsi="微软雅黑" w:eastAsia="微软雅黑" w:cs="微软雅黑"/>
          <w:i w:val="0"/>
          <w:iCs w:val="0"/>
          <w:caps w:val="0"/>
          <w:color w:val="000000"/>
          <w:spacing w:val="0"/>
          <w:sz w:val="24"/>
          <w:szCs w:val="24"/>
          <w:u w:val="none"/>
          <w:shd w:val="clear" w:fill="FFFFFF"/>
          <w:lang w:val="en-US" w:eastAsia="zh-CN"/>
        </w:rPr>
        <w:t>知情权、参与权、表达权和监督权。</w:t>
      </w:r>
      <w:r>
        <w:rPr>
          <w:rFonts w:hint="eastAsia" w:ascii="微软雅黑" w:hAnsi="微软雅黑" w:eastAsia="微软雅黑" w:cs="微软雅黑"/>
          <w:i w:val="0"/>
          <w:iCs w:val="0"/>
          <w:caps w:val="0"/>
          <w:color w:val="000000"/>
          <w:spacing w:val="0"/>
          <w:sz w:val="24"/>
          <w:szCs w:val="24"/>
          <w:u w:val="none"/>
          <w:shd w:val="clear" w:fill="FFFFFF"/>
          <w:lang w:val="en-US" w:eastAsia="zh-CN"/>
        </w:rPr>
        <w:t>另外将严格贯彻落关于政府信息公开工作的各项要求，严格对照目录标准公开，真正做到应公开尽公开。加强人员培训，提升实际工作水平，严谨细致地做好我单位政府信息公开工作，确保我单位政务信息及时、完整、准确发布。</w:t>
      </w:r>
    </w:p>
    <w:p>
      <w:pPr>
        <w:spacing w:line="590" w:lineRule="exact"/>
        <w:ind w:right="-100" w:rightChars="-50" w:firstLine="480" w:firstLineChars="200"/>
        <w:rPr>
          <w:rFonts w:hint="eastAsia" w:ascii="微软雅黑" w:hAnsi="微软雅黑" w:eastAsia="微软雅黑" w:cs="微软雅黑"/>
          <w:i w:val="0"/>
          <w:iCs w:val="0"/>
          <w:caps w:val="0"/>
          <w:color w:val="000000"/>
          <w:spacing w:val="0"/>
          <w:sz w:val="24"/>
          <w:szCs w:val="24"/>
          <w:u w:val="none"/>
          <w:shd w:val="clear" w:fill="FFFFFF"/>
          <w:lang w:val="en-US" w:eastAsia="zh-CN" w:bidi="ar-SA"/>
        </w:rPr>
      </w:pPr>
      <w:r>
        <w:rPr>
          <w:rFonts w:hint="eastAsia" w:ascii="微软雅黑" w:hAnsi="微软雅黑" w:eastAsia="微软雅黑" w:cs="微软雅黑"/>
          <w:i w:val="0"/>
          <w:iCs w:val="0"/>
          <w:caps w:val="0"/>
          <w:color w:val="000000"/>
          <w:spacing w:val="0"/>
          <w:sz w:val="24"/>
          <w:szCs w:val="24"/>
          <w:u w:val="none"/>
          <w:shd w:val="clear" w:fill="FFFFFF"/>
          <w:lang w:val="en-US" w:eastAsia="zh-CN" w:bidi="ar-SA"/>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auto"/>
        <w:rPr>
          <w:rFonts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（一）依据《政府信息公开信息处理费管理办法》收取信息处理费的情况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本年本机关未依据《政府信息公开信息处理费管理办法》收取信息处理费。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（二）本行政机关落实上级年度政务公开工作要点情况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80" w:leftChars="240" w:right="0" w:firstLine="480" w:firstLineChars="200"/>
        <w:jc w:val="left"/>
        <w:textAlignment w:val="auto"/>
        <w:rPr>
          <w:rFonts w:hint="eastAsia" w:ascii="微软雅黑" w:hAnsi="微软雅黑" w:eastAsia="微软雅黑" w:cs="微软雅黑"/>
          <w:i w:val="0"/>
          <w:iCs w:val="0"/>
          <w:caps w:val="0"/>
          <w:color w:val="000000"/>
          <w:spacing w:val="0"/>
          <w:sz w:val="24"/>
          <w:szCs w:val="24"/>
          <w:u w:val="none"/>
        </w:rPr>
      </w:pPr>
      <w:r>
        <w:rPr>
          <w:rFonts w:ascii="微软雅黑" w:hAnsi="微软雅黑" w:eastAsia="微软雅黑" w:cs="微软雅黑"/>
          <w:i w:val="0"/>
          <w:iCs w:val="0"/>
          <w:caps w:val="0"/>
          <w:color w:val="000000"/>
          <w:spacing w:val="0"/>
          <w:sz w:val="24"/>
          <w:szCs w:val="24"/>
          <w:shd w:val="clear" w:fill="FFFFFF"/>
        </w:rPr>
        <w:t>2022年，按照国家、省、市关于全面推进政务公开的系列部署要求，</w:t>
      </w:r>
      <w:r>
        <w:rPr>
          <w:rFonts w:hint="eastAsia" w:ascii="微软雅黑" w:hAnsi="微软雅黑" w:eastAsia="微软雅黑" w:cs="微软雅黑"/>
          <w:i w:val="0"/>
          <w:iCs w:val="0"/>
          <w:caps w:val="0"/>
          <w:color w:val="000000"/>
          <w:spacing w:val="0"/>
          <w:sz w:val="24"/>
          <w:szCs w:val="24"/>
          <w:shd w:val="clear" w:fill="FFFFFF"/>
          <w:lang w:eastAsia="zh-CN"/>
        </w:rPr>
        <w:t>济宁市公安局交通警察支队北湖新区勤务大队</w:t>
      </w:r>
      <w:r>
        <w:rPr>
          <w:rFonts w:ascii="微软雅黑" w:hAnsi="微软雅黑" w:eastAsia="微软雅黑" w:cs="微软雅黑"/>
          <w:i w:val="0"/>
          <w:iCs w:val="0"/>
          <w:caps w:val="0"/>
          <w:color w:val="000000"/>
          <w:spacing w:val="0"/>
          <w:sz w:val="24"/>
          <w:szCs w:val="24"/>
          <w:shd w:val="clear" w:fill="FFFFFF"/>
        </w:rPr>
        <w:t>进一步明确政务公开工作任务，扩大公开范围，细化公开要求，增强公开实效，提高道路交通安全治理水平，切实保障人民群众道路交通安全，创造平安和谐的道路交通环境。加强领导、健全组织。全面推行政务公开是一项复杂的系统工程，政策性强、涉及面广，为把此项工作落到实处，达到预期的目标，要坚持统一领导、各股所队各负其责、通力合作、全面落实政务公开工作；精心组织、全面实施。要把政务公开实施情况列入各科室、中队年度考核内容，要做到定期检查，经常通报情况；强检查、强化监督。建立内部监督与外部监督、上级监督与下级监督、领导监督与群众监督相结合的监督体系，把交警队政务公开置于社会各界和人民群众的监督之下，确保深化政务公开工作实现预期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rPr>
      </w:pPr>
      <w:r>
        <w:rPr>
          <w:rFonts w:hint="eastAsia" w:ascii="微软雅黑" w:hAnsi="微软雅黑" w:eastAsia="微软雅黑" w:cs="微软雅黑"/>
          <w:i w:val="0"/>
          <w:iCs w:val="0"/>
          <w:caps w:val="0"/>
          <w:color w:val="000000"/>
          <w:spacing w:val="0"/>
          <w:sz w:val="24"/>
          <w:szCs w:val="24"/>
          <w:u w:val="none"/>
          <w:shd w:val="clear" w:fill="FFFFFF"/>
        </w:rPr>
        <w:t>（三）本行政机关人大代表建议和政协提案办理结果公开情况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auto"/>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2022年度未收到人大代表建议和政协委员提案。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rPr>
      </w:pPr>
      <w:r>
        <w:rPr>
          <w:rFonts w:hint="eastAsia" w:ascii="微软雅黑" w:hAnsi="微软雅黑" w:eastAsia="微软雅黑" w:cs="微软雅黑"/>
          <w:i w:val="0"/>
          <w:iCs w:val="0"/>
          <w:caps w:val="0"/>
          <w:color w:val="000000"/>
          <w:spacing w:val="0"/>
          <w:sz w:val="24"/>
          <w:szCs w:val="24"/>
          <w:u w:val="none"/>
          <w:shd w:val="clear" w:fill="FFFFFF"/>
        </w:rPr>
        <w:t>（四）本行政机关年度政务公开工作创新情况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80" w:leftChars="240" w:right="0" w:firstLine="480" w:firstLineChars="200"/>
        <w:jc w:val="left"/>
        <w:textAlignment w:val="auto"/>
        <w:rPr>
          <w:rFonts w:hint="eastAsia" w:ascii="微软雅黑" w:hAnsi="微软雅黑" w:eastAsia="微软雅黑" w:cs="微软雅黑"/>
          <w:i w:val="0"/>
          <w:iCs w:val="0"/>
          <w:caps w:val="0"/>
          <w:color w:val="000000"/>
          <w:spacing w:val="0"/>
          <w:sz w:val="24"/>
          <w:szCs w:val="24"/>
          <w:shd w:val="clear" w:fill="FFFFFF"/>
          <w:lang w:eastAsia="zh-CN"/>
        </w:rPr>
      </w:pPr>
      <w:r>
        <w:rPr>
          <w:rFonts w:hint="eastAsia" w:ascii="微软雅黑" w:hAnsi="微软雅黑" w:eastAsia="微软雅黑" w:cs="微软雅黑"/>
          <w:i w:val="0"/>
          <w:iCs w:val="0"/>
          <w:caps w:val="0"/>
          <w:color w:val="000000"/>
          <w:spacing w:val="0"/>
          <w:sz w:val="24"/>
          <w:szCs w:val="24"/>
          <w:shd w:val="clear" w:fill="FFFFFF"/>
        </w:rPr>
        <w:t>2022年，</w:t>
      </w:r>
      <w:r>
        <w:rPr>
          <w:rFonts w:hint="eastAsia" w:ascii="微软雅黑" w:hAnsi="微软雅黑" w:eastAsia="微软雅黑" w:cs="微软雅黑"/>
          <w:i w:val="0"/>
          <w:iCs w:val="0"/>
          <w:caps w:val="0"/>
          <w:color w:val="000000"/>
          <w:spacing w:val="0"/>
          <w:sz w:val="24"/>
          <w:szCs w:val="24"/>
          <w:shd w:val="clear" w:fill="FFFFFF"/>
          <w:lang w:eastAsia="zh-CN"/>
        </w:rPr>
        <w:t>我单位</w:t>
      </w:r>
      <w:r>
        <w:rPr>
          <w:rFonts w:hint="eastAsia" w:ascii="微软雅黑" w:hAnsi="微软雅黑" w:eastAsia="微软雅黑" w:cs="微软雅黑"/>
          <w:i w:val="0"/>
          <w:iCs w:val="0"/>
          <w:caps w:val="0"/>
          <w:color w:val="000000"/>
          <w:spacing w:val="0"/>
          <w:sz w:val="24"/>
          <w:szCs w:val="24"/>
          <w:shd w:val="clear" w:fill="FFFFFF"/>
        </w:rPr>
        <w:t>进一步规范了依申请公开工作。一是完善了依申请公开工作制度，基本形成协调互动、齐抓共管的工作机制。二是建立健全了申请渠道</w:t>
      </w:r>
      <w:r>
        <w:rPr>
          <w:rFonts w:hint="eastAsia" w:ascii="微软雅黑" w:hAnsi="微软雅黑" w:eastAsia="微软雅黑" w:cs="微软雅黑"/>
          <w:i w:val="0"/>
          <w:iCs w:val="0"/>
          <w:caps w:val="0"/>
          <w:color w:val="000000"/>
          <w:spacing w:val="0"/>
          <w:sz w:val="24"/>
          <w:szCs w:val="24"/>
          <w:shd w:val="clear"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rPr>
      </w:pPr>
      <w:r>
        <w:rPr>
          <w:rFonts w:hint="eastAsia" w:ascii="微软雅黑" w:hAnsi="微软雅黑" w:eastAsia="微软雅黑" w:cs="微软雅黑"/>
          <w:i w:val="0"/>
          <w:iCs w:val="0"/>
          <w:caps w:val="0"/>
          <w:color w:val="000000"/>
          <w:spacing w:val="0"/>
          <w:sz w:val="24"/>
          <w:szCs w:val="24"/>
          <w:u w:val="none"/>
          <w:shd w:val="clear" w:fill="FFFFFF"/>
          <w:lang w:eastAsia="zh-CN"/>
        </w:rPr>
        <w:t>（五）</w:t>
      </w:r>
      <w:r>
        <w:rPr>
          <w:rFonts w:hint="eastAsia" w:ascii="微软雅黑" w:hAnsi="微软雅黑" w:eastAsia="微软雅黑" w:cs="微软雅黑"/>
          <w:i w:val="0"/>
          <w:iCs w:val="0"/>
          <w:caps w:val="0"/>
          <w:color w:val="000000"/>
          <w:spacing w:val="0"/>
          <w:sz w:val="24"/>
          <w:szCs w:val="24"/>
          <w:u w:val="none"/>
          <w:shd w:val="clear" w:fill="FFFFFF"/>
        </w:rPr>
        <w:t>本行政机关政府信息公开工作年度报告数据统计需要说明的事项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0" w:leftChars="0" w:right="0" w:rightChars="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rPr>
      </w:pPr>
      <w:r>
        <w:rPr>
          <w:rFonts w:hint="eastAsia" w:ascii="微软雅黑" w:hAnsi="微软雅黑" w:eastAsia="微软雅黑" w:cs="微软雅黑"/>
          <w:i w:val="0"/>
          <w:iCs w:val="0"/>
          <w:caps w:val="0"/>
          <w:color w:val="000000"/>
          <w:spacing w:val="0"/>
          <w:sz w:val="24"/>
          <w:szCs w:val="24"/>
          <w:u w:val="none"/>
          <w:shd w:val="clear" w:fill="FFFFFF"/>
          <w:lang w:eastAsia="zh-CN"/>
        </w:rPr>
        <w:t>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rPr>
      </w:pPr>
      <w:r>
        <w:rPr>
          <w:rFonts w:hint="eastAsia" w:ascii="微软雅黑" w:hAnsi="微软雅黑" w:eastAsia="微软雅黑" w:cs="微软雅黑"/>
          <w:i w:val="0"/>
          <w:iCs w:val="0"/>
          <w:caps w:val="0"/>
          <w:color w:val="000000"/>
          <w:spacing w:val="0"/>
          <w:sz w:val="24"/>
          <w:szCs w:val="24"/>
          <w:u w:val="none"/>
          <w:shd w:val="clear" w:fill="FFFFFF"/>
          <w:lang w:eastAsia="zh-CN"/>
        </w:rPr>
        <w:t>（六）</w:t>
      </w:r>
      <w:r>
        <w:rPr>
          <w:rFonts w:hint="eastAsia" w:ascii="微软雅黑" w:hAnsi="微软雅黑" w:eastAsia="微软雅黑" w:cs="微软雅黑"/>
          <w:i w:val="0"/>
          <w:iCs w:val="0"/>
          <w:caps w:val="0"/>
          <w:color w:val="000000"/>
          <w:spacing w:val="0"/>
          <w:sz w:val="24"/>
          <w:szCs w:val="24"/>
          <w:u w:val="none"/>
          <w:shd w:val="clear" w:fill="FFFFFF"/>
        </w:rPr>
        <w:t>本行政机关认为需要报告的其他事项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0" w:leftChars="0" w:right="0" w:rightChars="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lang w:eastAsia="zh-CN"/>
        </w:rPr>
      </w:pPr>
      <w:r>
        <w:rPr>
          <w:rFonts w:hint="eastAsia" w:ascii="微软雅黑" w:hAnsi="微软雅黑" w:eastAsia="微软雅黑" w:cs="微软雅黑"/>
          <w:i w:val="0"/>
          <w:iCs w:val="0"/>
          <w:caps w:val="0"/>
          <w:color w:val="000000"/>
          <w:spacing w:val="0"/>
          <w:sz w:val="24"/>
          <w:szCs w:val="24"/>
          <w:u w:val="none"/>
          <w:shd w:val="clear" w:fill="FFFFFF"/>
          <w:lang w:eastAsia="zh-CN"/>
        </w:rPr>
        <w:t>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84" w:leftChars="322" w:right="0" w:rightChars="0" w:hanging="240" w:hangingChars="100"/>
        <w:jc w:val="left"/>
        <w:rPr>
          <w:rFonts w:hint="eastAsia" w:eastAsia="微软雅黑"/>
          <w:lang w:eastAsia="zh-CN"/>
        </w:rPr>
      </w:pPr>
      <w:r>
        <w:rPr>
          <w:rFonts w:hint="eastAsia" w:ascii="微软雅黑" w:hAnsi="微软雅黑" w:eastAsia="微软雅黑" w:cs="微软雅黑"/>
          <w:i w:val="0"/>
          <w:iCs w:val="0"/>
          <w:caps w:val="0"/>
          <w:color w:val="000000"/>
          <w:spacing w:val="0"/>
          <w:sz w:val="24"/>
          <w:szCs w:val="24"/>
          <w:u w:val="none"/>
          <w:shd w:val="clear" w:fill="FFFFFF"/>
          <w:lang w:val="en-US" w:eastAsia="zh-CN"/>
        </w:rPr>
        <w:t>(七）</w:t>
      </w:r>
      <w:r>
        <w:rPr>
          <w:rFonts w:hint="eastAsia" w:ascii="微软雅黑" w:hAnsi="微软雅黑" w:eastAsia="微软雅黑" w:cs="微软雅黑"/>
          <w:i w:val="0"/>
          <w:iCs w:val="0"/>
          <w:caps w:val="0"/>
          <w:color w:val="000000"/>
          <w:spacing w:val="0"/>
          <w:sz w:val="24"/>
          <w:szCs w:val="24"/>
          <w:u w:val="none"/>
          <w:shd w:val="clear" w:fill="FFFFFF"/>
        </w:rPr>
        <w:t>其他有关文件专门要求通过政府信息公开工作年度报告予以报告</w:t>
      </w:r>
      <w:r>
        <w:rPr>
          <w:rFonts w:hint="eastAsia" w:ascii="微软雅黑" w:hAnsi="微软雅黑" w:eastAsia="微软雅黑" w:cs="微软雅黑"/>
          <w:i w:val="0"/>
          <w:iCs w:val="0"/>
          <w:caps w:val="0"/>
          <w:color w:val="000000"/>
          <w:spacing w:val="0"/>
          <w:sz w:val="24"/>
          <w:szCs w:val="24"/>
          <w:u w:val="none"/>
          <w:shd w:val="clear" w:fill="FFFFFF"/>
          <w:lang w:eastAsia="zh-CN"/>
        </w:rPr>
        <w:t>事项无。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480" w:firstLineChars="200"/>
        <w:jc w:val="left"/>
        <w:textAlignment w:val="auto"/>
        <w:rPr>
          <w:rFonts w:hint="eastAsia" w:ascii="微软雅黑" w:hAnsi="微软雅黑" w:eastAsia="微软雅黑" w:cs="微软雅黑"/>
          <w:i w:val="0"/>
          <w:iCs w:val="0"/>
          <w:caps w:val="0"/>
          <w:color w:val="000000"/>
          <w:spacing w:val="0"/>
          <w:sz w:val="24"/>
          <w:szCs w:val="24"/>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DlmZTAyZGFjMjVhZjNmY2Y1ZDQxMjA1YjM5YmMifQ=="/>
  </w:docVars>
  <w:rsids>
    <w:rsidRoot w:val="7B23114F"/>
    <w:rsid w:val="003522D6"/>
    <w:rsid w:val="00D02189"/>
    <w:rsid w:val="1B4F5DA7"/>
    <w:rsid w:val="230B2E2E"/>
    <w:rsid w:val="327406ED"/>
    <w:rsid w:val="4565793E"/>
    <w:rsid w:val="486A7584"/>
    <w:rsid w:val="49E46661"/>
    <w:rsid w:val="53600075"/>
    <w:rsid w:val="58D33842"/>
    <w:rsid w:val="5915008F"/>
    <w:rsid w:val="5C8400C2"/>
    <w:rsid w:val="5FFA5856"/>
    <w:rsid w:val="6632333F"/>
    <w:rsid w:val="6CC12C6C"/>
    <w:rsid w:val="6EA25A1E"/>
    <w:rsid w:val="73F34647"/>
    <w:rsid w:val="742C1C5D"/>
    <w:rsid w:val="7B23114F"/>
    <w:rsid w:val="7B44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1"/>
    <w:basedOn w:val="1"/>
    <w:next w:val="1"/>
    <w:qFormat/>
    <w:uiPriority w:val="39"/>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www.wps.cn/officeDocument/2018/webExtension" Target="webExtensions/webExtension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信息类型&quot;,&quot;主动公开情况&quot;],[&quot;政策解读类&quot;,&quot;1&quot;],[&quot;财政信息类&quot;,&quot;2&quot;],[&quot;政府采购类&quot;,&quot;1&quot;],[&quot;机构职能类&quot;,&quot;1&quot;],[&quot;主动公开基本目录&quot;,&quot;1&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FFFFFF&quot;,&quot;colors&quot;:{&quot;colorControlers&quot;:[&quot;multiple&quot;],&quot;list&quot;:[0],&quot;type&quot;:&quot;multiple&quot;},&quot;display&quot;:{&quot;bar4CornerRadius&quot;:[0,0,0,0],&quot;barWidthPercent&quot;:&quot;0.5&quot;,&quot;borderColor&quot;:&quot;&quot;,&quot;borderWidth&quot;:&quot;0&quot;,&quot;fillOpacity&quot;:&quot;1&quot;},&quot;font&quot;:{&quot;color&quot;:&quot;#545454&quot;,&quot;fontFamily&quot;:&quot;黑体&quot;,&quot;fontSize&quot;:&quot;14&quot;},&quot;label&quot;:{&quot;display&quot;:tru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quot;ratio&quot;:&quot;&quot;,&quot;rotate&quot;:0,&quot;width&quot;:533},&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4&quot;,&quot;templateSwitch&quot;:&quot;cross&quot;,&quot;theme&quot;:{&quot;_id&quot;:17,&quot;axis&quot;:{&quot;color&quot;:&quot;#a1a1a1&quot;},&quot;backgroundColor&quot;:&quot;#FFFFFF&quot;,&quot;card_color&quot;:&quot;#FEF5EF&quot;,&quot;colors&quot;:[&quot;#4150d8&quot;,&quot;#28bf7e&quot;,&quot;#ed7c2f&quot;,&quot;#f2a93b&quot;,&quot;#f9cf36&quot;,&quot;#4a5bdc&quot;,&quot;#4cd698&quot;,&quot;#f4914e&quot;,&quot;#fcb75b&quot;,&quot;#ffe180&quot;,&quot;#b6c2ff&quot;,&quot;#96edc1&quot;,&quot;#ffbe92&quot;,&quot;#ffd6ae&quot;,&quot;#ffecb6&quot;],&quot;fonts&quot;:{&quot;accessoryColor&quot;:&quot;#878787&quot;,&quot;color&quot;:&quot;#545454&quot;,&quot;fontFamily&quot;:&quot;阿里巴巴普惠体 常规&quot;,&quot;fontSize&quot;:&quot;14&quot;},&quot;grid&quot;:{&quot;color&quot;:&quot;#ccc&quot;},&quot;name&quot;:&quot;煦色韶光&quot;,&quot;price&quot;:&quot;0.0&quot;,&quot;shapeColor&quot;:1,&quot;themeId&quot;:&quot;17&quot;,&quot;thumb&quot;:&quot;https://ss1.dydata.io/v2/themes/17.png&quot;,&quot;titleFont&quot;:{&quot;color&quot;:&quot;#4c4c4c&quot;,&quot;fontFamily&quot;:&quot;阿里巴巴普惠体 常规&quot;,&quot;fontSize&quot;:&quot;36&quot;},&quot;typeDycharts&quot;:{}},&quot;thumb&quot;:&quot;./images/444734748594536323-4.png&quot;,&quot;title&quot;:&quot;基础柱状图&quot;,&quot;type&quot;:&quot;chart&quot;},&quot;dschart_id&quot;:&quot;444734748594536323-4&quot;,&quot;id&quot;:&quot;40&quot;}"/>
    <wpswe:property key="isUseCommonErrorPage" value="false"/>
    <wpswe:property key="loadingImage" value="res:/icons/DsWebShapeDefaultPage.svg"/>
  </wpswe:properties>
  <wpswe:watchingCache>
    <wpswe:linkPath>C:/Users/Administrator/AppData/Local/Temp/wps.lZHwOP/Workbook1.xlsx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https://clientweb.docer.wps.cn/ds/1.0.0/webShapeView?id=40&amp;dschart_id=444734748594536323&amp;from=chartwins&amp;productEntry=insert&amp;sceneEntry=rec&amp;flag=1003</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7</Pages>
  <Words>2872</Words>
  <Characters>2959</Characters>
  <Lines>0</Lines>
  <Paragraphs>0</Paragraphs>
  <TotalTime>6</TotalTime>
  <ScaleCrop>false</ScaleCrop>
  <LinksUpToDate>false</LinksUpToDate>
  <CharactersWithSpaces>2972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2023-02-03T02:57:00Z</dcterms:created>
  <dc:creator>李宁</dc:creator>
  <cp:lastModifiedBy>李宁</cp:lastModifiedBy>
  <dcterms:modified xsi:type="dcterms:W3CDTF">2023-02-11T08:44:53Z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DB367528E55D4706B47826337F6507E9</vt:lpwstr>
  </property>
</Properties>
</file>