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85" w:lineRule="atLeast"/>
        <w:ind w:left="0" w:right="0" w:firstLine="645"/>
        <w:jc w:val="center"/>
        <w:rPr>
          <w:rStyle w:val="5"/>
          <w:rFonts w:hint="eastAsia" w:ascii="黑体" w:hAnsi="黑体" w:eastAsia="黑体" w:cs="黑体"/>
          <w:sz w:val="44"/>
          <w:szCs w:val="44"/>
        </w:rPr>
      </w:pPr>
      <w:r>
        <w:rPr>
          <w:rStyle w:val="5"/>
          <w:rFonts w:hint="eastAsia" w:ascii="黑体" w:hAnsi="黑体" w:eastAsia="黑体" w:cs="黑体"/>
          <w:sz w:val="44"/>
          <w:szCs w:val="44"/>
        </w:rPr>
        <w:t>太白湖新区园林服务中心</w:t>
      </w:r>
    </w:p>
    <w:p>
      <w:pPr>
        <w:pStyle w:val="2"/>
        <w:keepNext w:val="0"/>
        <w:keepLines w:val="0"/>
        <w:widowControl/>
        <w:suppressLineNumbers w:val="0"/>
        <w:spacing w:before="0" w:beforeAutospacing="0" w:after="0" w:afterAutospacing="0" w:line="585" w:lineRule="atLeast"/>
        <w:ind w:left="0" w:right="0" w:firstLine="645"/>
        <w:jc w:val="center"/>
        <w:rPr>
          <w:rStyle w:val="5"/>
          <w:rFonts w:hint="eastAsia" w:ascii="黑体" w:hAnsi="黑体" w:eastAsia="黑体" w:cs="黑体"/>
          <w:sz w:val="21"/>
          <w:szCs w:val="21"/>
        </w:rPr>
      </w:pPr>
      <w:r>
        <w:rPr>
          <w:rStyle w:val="5"/>
          <w:rFonts w:hint="eastAsia" w:ascii="黑体" w:hAnsi="黑体" w:eastAsia="黑体" w:cs="黑体"/>
          <w:sz w:val="44"/>
          <w:szCs w:val="44"/>
        </w:rPr>
        <w:t>2021年政府信息公开工作年度报告</w:t>
      </w:r>
    </w:p>
    <w:p>
      <w:pPr>
        <w:pStyle w:val="2"/>
        <w:keepNext w:val="0"/>
        <w:keepLines w:val="0"/>
        <w:widowControl/>
        <w:suppressLineNumbers w:val="0"/>
        <w:spacing w:before="0" w:beforeAutospacing="0" w:after="0" w:afterAutospacing="0" w:line="585" w:lineRule="atLeast"/>
        <w:ind w:left="0" w:right="0" w:firstLine="645"/>
        <w:jc w:val="center"/>
        <w:rPr>
          <w:rStyle w:val="5"/>
          <w:rFonts w:hint="eastAsia" w:ascii="黑体" w:hAnsi="黑体" w:eastAsia="黑体" w:cs="黑体"/>
          <w:sz w:val="21"/>
          <w:szCs w:val="21"/>
        </w:rPr>
      </w:pPr>
    </w:p>
    <w:p>
      <w:pPr>
        <w:pStyle w:val="2"/>
        <w:keepNext w:val="0"/>
        <w:keepLines w:val="0"/>
        <w:widowControl/>
        <w:suppressLineNumbers w:val="0"/>
        <w:spacing w:before="0" w:beforeAutospacing="0" w:after="0" w:afterAutospacing="0" w:line="585" w:lineRule="atLeast"/>
        <w:ind w:left="0" w:right="0" w:firstLine="645"/>
        <w:rPr>
          <w:sz w:val="21"/>
          <w:szCs w:val="21"/>
        </w:rPr>
      </w:pPr>
      <w:r>
        <w:rPr>
          <w:rStyle w:val="5"/>
          <w:rFonts w:ascii="方正仿宋简体" w:hAnsi="方正仿宋简体" w:eastAsia="方正仿宋简体" w:cs="方正仿宋简体"/>
          <w:sz w:val="31"/>
          <w:szCs w:val="31"/>
        </w:rPr>
        <w:t>本报告由</w:t>
      </w:r>
      <w:r>
        <w:rPr>
          <w:rStyle w:val="5"/>
          <w:rFonts w:hint="eastAsia" w:ascii="方正仿宋简体" w:hAnsi="方正仿宋简体" w:eastAsia="方正仿宋简体" w:cs="方正仿宋简体"/>
          <w:sz w:val="31"/>
          <w:szCs w:val="31"/>
        </w:rPr>
        <w:t>太白湖新区</w:t>
      </w:r>
      <w:r>
        <w:rPr>
          <w:rStyle w:val="5"/>
          <w:rFonts w:hint="eastAsia" w:ascii="方正仿宋简体" w:hAnsi="方正仿宋简体" w:eastAsia="方正仿宋简体" w:cs="方正仿宋简体"/>
          <w:sz w:val="31"/>
          <w:szCs w:val="31"/>
          <w:lang w:eastAsia="zh-CN"/>
        </w:rPr>
        <w:t>园林</w:t>
      </w:r>
      <w:r>
        <w:rPr>
          <w:rStyle w:val="5"/>
          <w:rFonts w:hint="eastAsia" w:ascii="方正仿宋简体" w:hAnsi="方正仿宋简体" w:eastAsia="方正仿宋简体" w:cs="方正仿宋简体"/>
          <w:sz w:val="31"/>
          <w:szCs w:val="31"/>
        </w:rPr>
        <w:t>服务中心按照《中华人民共和国政府信息公开条例》（以下简称《条例》）和《中华人民共和国政府信息公开工作年度报告格式》（国办公开办函〔2021〕30号）要求编制。</w:t>
      </w:r>
    </w:p>
    <w:p>
      <w:pPr>
        <w:pStyle w:val="2"/>
        <w:keepNext w:val="0"/>
        <w:keepLines w:val="0"/>
        <w:widowControl/>
        <w:suppressLineNumbers w:val="0"/>
        <w:spacing w:before="0" w:beforeAutospacing="0" w:after="0" w:afterAutospacing="0" w:line="585" w:lineRule="atLeast"/>
        <w:ind w:left="0" w:right="0" w:firstLine="645"/>
        <w:rPr>
          <w:sz w:val="21"/>
          <w:szCs w:val="21"/>
        </w:rPr>
      </w:pPr>
      <w:r>
        <w:rPr>
          <w:rStyle w:val="5"/>
          <w:rFonts w:hint="eastAsia" w:ascii="方正仿宋简体" w:hAnsi="方正仿宋简体" w:eastAsia="方正仿宋简体" w:cs="方正仿宋简体"/>
          <w:sz w:val="31"/>
          <w:szCs w:val="31"/>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widowControl/>
        <w:suppressLineNumbers w:val="0"/>
        <w:spacing w:before="0" w:beforeAutospacing="0" w:after="0" w:afterAutospacing="0" w:line="585" w:lineRule="atLeast"/>
        <w:ind w:left="0" w:right="0" w:firstLine="645"/>
        <w:rPr>
          <w:sz w:val="21"/>
          <w:szCs w:val="21"/>
        </w:rPr>
      </w:pPr>
      <w:r>
        <w:rPr>
          <w:rStyle w:val="5"/>
          <w:rFonts w:hint="eastAsia" w:ascii="方正仿宋简体" w:hAnsi="方正仿宋简体" w:eastAsia="方正仿宋简体" w:cs="方正仿宋简体"/>
          <w:sz w:val="31"/>
          <w:szCs w:val="31"/>
        </w:rPr>
        <w:t>本报告所列数据的统计期限自2021年1月1日起至2021年12月31日止。本报告电子版可在“中国·济宁”政府门户网站（具体网址）查阅或下载。如对本报告有疑问，请与太白湖新区</w:t>
      </w:r>
      <w:r>
        <w:rPr>
          <w:rStyle w:val="5"/>
          <w:rFonts w:hint="eastAsia" w:ascii="方正仿宋简体" w:hAnsi="方正仿宋简体" w:eastAsia="方正仿宋简体" w:cs="方正仿宋简体"/>
          <w:sz w:val="31"/>
          <w:szCs w:val="31"/>
          <w:lang w:eastAsia="zh-CN"/>
        </w:rPr>
        <w:t>园林</w:t>
      </w:r>
      <w:r>
        <w:rPr>
          <w:rStyle w:val="5"/>
          <w:rFonts w:hint="eastAsia" w:ascii="方正仿宋简体" w:hAnsi="方正仿宋简体" w:eastAsia="方正仿宋简体" w:cs="方正仿宋简体"/>
          <w:sz w:val="31"/>
          <w:szCs w:val="31"/>
        </w:rPr>
        <w:t>服务中心联系（</w:t>
      </w:r>
      <w:r>
        <w:rPr>
          <w:rStyle w:val="5"/>
          <w:rFonts w:hint="eastAsia" w:ascii="方正仿宋简体" w:hAnsi="方正仿宋简体" w:eastAsia="方正仿宋简体" w:cs="方正仿宋简体"/>
          <w:color w:val="333333"/>
          <w:spacing w:val="0"/>
          <w:sz w:val="31"/>
          <w:szCs w:val="31"/>
          <w:shd w:val="clear" w:fill="FFFFFF"/>
        </w:rPr>
        <w:t>地址：太白湖新区新城发展大厦A座12</w:t>
      </w:r>
      <w:r>
        <w:rPr>
          <w:rStyle w:val="5"/>
          <w:rFonts w:hint="eastAsia" w:ascii="方正仿宋简体" w:hAnsi="方正仿宋简体" w:eastAsia="方正仿宋简体" w:cs="方正仿宋简体"/>
          <w:color w:val="333333"/>
          <w:spacing w:val="0"/>
          <w:sz w:val="31"/>
          <w:szCs w:val="31"/>
          <w:shd w:val="clear" w:fill="FFFFFF"/>
          <w:lang w:val="en-US" w:eastAsia="zh-CN"/>
        </w:rPr>
        <w:t>03</w:t>
      </w:r>
      <w:r>
        <w:rPr>
          <w:rStyle w:val="5"/>
          <w:rFonts w:hint="eastAsia" w:ascii="方正仿宋简体" w:hAnsi="方正仿宋简体" w:eastAsia="方正仿宋简体" w:cs="方正仿宋简体"/>
          <w:color w:val="333333"/>
          <w:spacing w:val="0"/>
          <w:sz w:val="31"/>
          <w:szCs w:val="31"/>
          <w:shd w:val="clear" w:fill="FFFFFF"/>
        </w:rPr>
        <w:t>，联系电话：0537-</w:t>
      </w:r>
      <w:r>
        <w:rPr>
          <w:rStyle w:val="5"/>
          <w:rFonts w:hint="eastAsia" w:ascii="方正仿宋简体" w:hAnsi="方正仿宋简体" w:eastAsia="方正仿宋简体" w:cs="方正仿宋简体"/>
          <w:color w:val="333333"/>
          <w:spacing w:val="0"/>
          <w:sz w:val="31"/>
          <w:szCs w:val="31"/>
          <w:shd w:val="clear" w:fill="FFFFFF"/>
          <w:lang w:val="en-US" w:eastAsia="zh-CN"/>
        </w:rPr>
        <w:t>6537162</w:t>
      </w:r>
      <w:r>
        <w:rPr>
          <w:rStyle w:val="5"/>
          <w:rFonts w:hint="eastAsia" w:ascii="方正仿宋简体" w:hAnsi="方正仿宋简体" w:eastAsia="方正仿宋简体" w:cs="方正仿宋简体"/>
          <w:sz w:val="31"/>
          <w:szCs w:val="31"/>
        </w:rPr>
        <w:t>）。</w:t>
      </w:r>
    </w:p>
    <w:p>
      <w:pPr>
        <w:pStyle w:val="2"/>
        <w:keepNext w:val="0"/>
        <w:keepLines w:val="0"/>
        <w:widowControl/>
        <w:suppressLineNumbers w:val="0"/>
        <w:spacing w:before="0" w:beforeAutospacing="0" w:after="0" w:afterAutospacing="0" w:line="585" w:lineRule="atLeast"/>
        <w:ind w:left="0" w:right="0" w:firstLine="645"/>
        <w:rPr>
          <w:sz w:val="21"/>
          <w:szCs w:val="21"/>
        </w:rPr>
      </w:pPr>
      <w:r>
        <w:rPr>
          <w:rFonts w:ascii="方正黑体简体" w:hAnsi="方正黑体简体" w:eastAsia="方正黑体简体" w:cs="方正黑体简体"/>
          <w:sz w:val="31"/>
          <w:szCs w:val="31"/>
        </w:rPr>
        <w:t>一、</w:t>
      </w:r>
      <w:r>
        <w:rPr>
          <w:rStyle w:val="5"/>
          <w:rFonts w:hint="eastAsia" w:ascii="方正黑体简体" w:hAnsi="方正黑体简体" w:eastAsia="方正黑体简体" w:cs="方正黑体简体"/>
          <w:sz w:val="31"/>
          <w:szCs w:val="31"/>
        </w:rPr>
        <w:t>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pPr>
      <w:r>
        <w:rPr>
          <w:rStyle w:val="5"/>
          <w:rFonts w:hint="eastAsia" w:ascii="方正仿宋简体" w:hAnsi="方正仿宋简体" w:eastAsia="方正仿宋简体" w:cs="方正仿宋简体"/>
          <w:sz w:val="31"/>
          <w:szCs w:val="31"/>
          <w:shd w:val="clear" w:fill="FFFFFF"/>
        </w:rPr>
        <w:t>今年以来，太白湖新区</w:t>
      </w:r>
      <w:r>
        <w:rPr>
          <w:rStyle w:val="5"/>
          <w:rFonts w:hint="eastAsia" w:ascii="方正仿宋简体" w:hAnsi="方正仿宋简体" w:eastAsia="方正仿宋简体" w:cs="方正仿宋简体"/>
          <w:sz w:val="31"/>
          <w:szCs w:val="31"/>
          <w:shd w:val="clear" w:fill="FFFFFF"/>
          <w:lang w:eastAsia="zh-CN"/>
        </w:rPr>
        <w:t>园林</w:t>
      </w:r>
      <w:r>
        <w:rPr>
          <w:rStyle w:val="5"/>
          <w:rFonts w:hint="eastAsia" w:ascii="方正仿宋简体" w:hAnsi="方正仿宋简体" w:eastAsia="方正仿宋简体" w:cs="方正仿宋简体"/>
          <w:sz w:val="31"/>
          <w:szCs w:val="31"/>
          <w:shd w:val="clear" w:fill="FFFFFF"/>
        </w:rPr>
        <w:t>服务中心认真贯彻落实《中华人民共和国政府信息公开条例》、《山东省政府信息公开办法》、《关于印发2021年政务公开工作实施方案的通知》精神，紧紧围绕全区中心工作任务，扎实推进政府信息公开工作，进一步加大公开力度，不断提升政府信息公开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pPr>
      <w:r>
        <w:rPr>
          <w:rStyle w:val="5"/>
          <w:rFonts w:hint="eastAsia" w:ascii="方正仿宋简体" w:hAnsi="方正仿宋简体" w:eastAsia="方正仿宋简体" w:cs="方正仿宋简体"/>
          <w:sz w:val="31"/>
          <w:szCs w:val="31"/>
          <w:shd w:val="clear" w:fill="FFFFFF"/>
        </w:rPr>
        <w:t>（一）加强领导，健全机制。我中心高度重视政府信息公开工作，为加强对政府信息公开工作的组织领导，成立了政府信息公开领导小组，明确中心办公室承担政府信息公开日常工作，并指定1名办公室工作人员负责政府信息公开工作和管理政府信息公开网上录入、审核、系统维护工作，负责收集、梳理信息及上传发布信息，做到人员到位、责任到位、措施到位，从而确保了此项工作的顺利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pPr>
      <w:r>
        <w:rPr>
          <w:rStyle w:val="5"/>
          <w:rFonts w:hint="eastAsia" w:ascii="方正仿宋简体" w:hAnsi="方正仿宋简体" w:eastAsia="方正仿宋简体" w:cs="方正仿宋简体"/>
          <w:sz w:val="31"/>
          <w:szCs w:val="31"/>
          <w:shd w:val="clear" w:fill="FFFFFF"/>
        </w:rPr>
        <w:t>（二）加强网站日常监控和管理。及时修订完善网站管理内容保障机制，明确了区</w:t>
      </w:r>
      <w:r>
        <w:rPr>
          <w:rStyle w:val="5"/>
          <w:rFonts w:hint="eastAsia" w:ascii="方正仿宋简体" w:hAnsi="方正仿宋简体" w:eastAsia="方正仿宋简体" w:cs="方正仿宋简体"/>
          <w:sz w:val="31"/>
          <w:szCs w:val="31"/>
          <w:shd w:val="clear" w:fill="FFFFFF"/>
          <w:lang w:eastAsia="zh-CN"/>
        </w:rPr>
        <w:t>园林</w:t>
      </w:r>
      <w:r>
        <w:rPr>
          <w:rStyle w:val="5"/>
          <w:rFonts w:hint="eastAsia" w:ascii="方正仿宋简体" w:hAnsi="方正仿宋简体" w:eastAsia="方正仿宋简体" w:cs="方正仿宋简体"/>
          <w:sz w:val="31"/>
          <w:szCs w:val="31"/>
          <w:shd w:val="clear" w:fill="FFFFFF"/>
        </w:rPr>
        <w:t>服务中心信息公开的范围、程序及方式；加强信息发布审核和保密工作。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pPr>
      <w:r>
        <w:rPr>
          <w:rStyle w:val="5"/>
          <w:rFonts w:hint="eastAsia" w:ascii="方正仿宋简体" w:hAnsi="方正仿宋简体" w:eastAsia="方正仿宋简体" w:cs="方正仿宋简体"/>
          <w:sz w:val="31"/>
          <w:szCs w:val="31"/>
          <w:shd w:val="clear" w:fill="FFFFFF"/>
        </w:rPr>
        <w:t>（三）严格审查，精心落实。在公开政府信息过程中，及时明确了政府信息的公开属性，严格按照保密法对政府信息逐条进行审核，确保公开的信息不涉密，涉密的信息不公开。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sz w:val="21"/>
          <w:szCs w:val="21"/>
        </w:rPr>
      </w:pPr>
      <w:r>
        <w:rPr>
          <w:rStyle w:val="5"/>
          <w:rFonts w:hint="eastAsia" w:ascii="方正仿宋简体" w:hAnsi="方正仿宋简体" w:eastAsia="方正仿宋简体" w:cs="方正仿宋简体"/>
          <w:sz w:val="31"/>
          <w:szCs w:val="31"/>
          <w:shd w:val="clear" w:fill="FFFFFF"/>
        </w:rPr>
        <w:t>2021年太白湖新区</w:t>
      </w:r>
      <w:r>
        <w:rPr>
          <w:rStyle w:val="5"/>
          <w:rFonts w:hint="eastAsia" w:ascii="方正仿宋简体" w:hAnsi="方正仿宋简体" w:eastAsia="方正仿宋简体" w:cs="方正仿宋简体"/>
          <w:sz w:val="31"/>
          <w:szCs w:val="31"/>
          <w:shd w:val="clear" w:fill="FFFFFF"/>
          <w:lang w:eastAsia="zh-CN"/>
        </w:rPr>
        <w:t>园林</w:t>
      </w:r>
      <w:r>
        <w:rPr>
          <w:rStyle w:val="5"/>
          <w:rFonts w:hint="eastAsia" w:ascii="方正仿宋简体" w:hAnsi="方正仿宋简体" w:eastAsia="方正仿宋简体" w:cs="方正仿宋简体"/>
          <w:sz w:val="31"/>
          <w:szCs w:val="31"/>
          <w:shd w:val="clear" w:fill="FFFFFF"/>
        </w:rPr>
        <w:t>服务中心共公开5条政务信息，其中包括2021年度济宁北湖省级旅游度假区</w:t>
      </w:r>
      <w:r>
        <w:rPr>
          <w:rStyle w:val="5"/>
          <w:rFonts w:hint="eastAsia" w:ascii="方正仿宋简体" w:hAnsi="方正仿宋简体" w:eastAsia="方正仿宋简体" w:cs="方正仿宋简体"/>
          <w:sz w:val="31"/>
          <w:szCs w:val="31"/>
          <w:shd w:val="clear" w:fill="FFFFFF"/>
          <w:lang w:eastAsia="zh-CN"/>
        </w:rPr>
        <w:t>园林</w:t>
      </w:r>
      <w:r>
        <w:rPr>
          <w:rStyle w:val="5"/>
          <w:rFonts w:hint="eastAsia" w:ascii="方正仿宋简体" w:hAnsi="方正仿宋简体" w:eastAsia="方正仿宋简体" w:cs="方正仿宋简体"/>
          <w:sz w:val="31"/>
          <w:szCs w:val="31"/>
          <w:shd w:val="clear" w:fill="FFFFFF"/>
        </w:rPr>
        <w:t>服务中心部门决算、2021年济宁北湖省级旅游度假区</w:t>
      </w:r>
      <w:r>
        <w:rPr>
          <w:rStyle w:val="5"/>
          <w:rFonts w:hint="eastAsia" w:ascii="方正仿宋简体" w:hAnsi="方正仿宋简体" w:eastAsia="方正仿宋简体" w:cs="方正仿宋简体"/>
          <w:sz w:val="31"/>
          <w:szCs w:val="31"/>
          <w:shd w:val="clear" w:fill="FFFFFF"/>
          <w:lang w:eastAsia="zh-CN"/>
        </w:rPr>
        <w:t>园林</w:t>
      </w:r>
      <w:r>
        <w:rPr>
          <w:rStyle w:val="5"/>
          <w:rFonts w:hint="eastAsia" w:ascii="方正仿宋简体" w:hAnsi="方正仿宋简体" w:eastAsia="方正仿宋简体" w:cs="方正仿宋简体"/>
          <w:sz w:val="31"/>
          <w:szCs w:val="31"/>
          <w:shd w:val="clear" w:fill="FFFFFF"/>
        </w:rPr>
        <w:t>服务中心部门预算、</w:t>
      </w:r>
      <w:r>
        <w:rPr>
          <w:rStyle w:val="5"/>
          <w:rFonts w:hint="eastAsia" w:ascii="方正仿宋简体" w:hAnsi="方正仿宋简体" w:eastAsia="方正仿宋简体" w:cs="方正仿宋简体"/>
          <w:sz w:val="31"/>
          <w:szCs w:val="31"/>
          <w:shd w:val="clear" w:fill="FFFFFF"/>
          <w:lang w:eastAsia="zh-CN"/>
        </w:rPr>
        <w:t>园林</w:t>
      </w:r>
      <w:r>
        <w:rPr>
          <w:rStyle w:val="5"/>
          <w:rFonts w:hint="eastAsia" w:ascii="方正仿宋简体" w:hAnsi="方正仿宋简体" w:eastAsia="方正仿宋简体" w:cs="方正仿宋简体"/>
          <w:sz w:val="31"/>
          <w:szCs w:val="31"/>
          <w:shd w:val="clear" w:fill="FFFFFF"/>
        </w:rPr>
        <w:t>服务中心2021年绩效目标、太白湖新区</w:t>
      </w:r>
      <w:r>
        <w:rPr>
          <w:rStyle w:val="5"/>
          <w:rFonts w:hint="eastAsia" w:ascii="方正仿宋简体" w:hAnsi="方正仿宋简体" w:eastAsia="方正仿宋简体" w:cs="方正仿宋简体"/>
          <w:sz w:val="31"/>
          <w:szCs w:val="31"/>
          <w:shd w:val="clear" w:fill="FFFFFF"/>
          <w:lang w:eastAsia="zh-CN"/>
        </w:rPr>
        <w:t>园林</w:t>
      </w:r>
      <w:r>
        <w:rPr>
          <w:rStyle w:val="5"/>
          <w:rFonts w:hint="eastAsia" w:ascii="方正仿宋简体" w:hAnsi="方正仿宋简体" w:eastAsia="方正仿宋简体" w:cs="方正仿宋简体"/>
          <w:sz w:val="31"/>
          <w:szCs w:val="31"/>
          <w:shd w:val="clear" w:fill="FFFFFF"/>
        </w:rPr>
        <w:t>服务中心部门职责</w:t>
      </w:r>
      <w:r>
        <w:rPr>
          <w:rStyle w:val="5"/>
          <w:rFonts w:hint="eastAsia" w:ascii="方正仿宋简体" w:hAnsi="方正仿宋简体" w:eastAsia="方正仿宋简体" w:cs="方正仿宋简体"/>
          <w:sz w:val="31"/>
          <w:szCs w:val="31"/>
          <w:shd w:val="clear" w:fill="FFFFFF"/>
          <w:lang w:val="en-US" w:eastAsia="zh-CN"/>
        </w:rPr>
        <w:t>等；</w:t>
      </w:r>
      <w:r>
        <w:rPr>
          <w:rStyle w:val="5"/>
          <w:rFonts w:hint="eastAsia" w:ascii="方正仿宋简体" w:hAnsi="方正仿宋简体" w:eastAsia="方正仿宋简体" w:cs="方正仿宋简体"/>
          <w:sz w:val="31"/>
          <w:szCs w:val="31"/>
          <w:shd w:val="clear" w:fill="FFFFFF"/>
        </w:rPr>
        <w:t>不涉及依申请公开政府信息和不予公开政府信息的情况；不涉及政府信息公开的收费及减免情况；不涉及因政府信息公开申请行政复议、提起行政诉讼的情况；暂未发现政府信息公开工作存在的问题；无其他需要说明的情况。</w:t>
      </w:r>
      <w:r>
        <w:rPr>
          <w:rStyle w:val="5"/>
          <w:rFonts w:hint="eastAsia" w:ascii="方正黑体简体" w:hAnsi="方正黑体简体" w:eastAsia="方正黑体简体" w:cs="方正黑体简体"/>
          <w:sz w:val="31"/>
          <w:szCs w:val="31"/>
        </w:rPr>
        <w:t> </w:t>
      </w:r>
    </w:p>
    <w:p>
      <w:pPr>
        <w:pStyle w:val="2"/>
        <w:keepNext w:val="0"/>
        <w:keepLines w:val="0"/>
        <w:widowControl/>
        <w:suppressLineNumbers w:val="0"/>
        <w:spacing w:before="0" w:beforeAutospacing="0" w:after="0" w:afterAutospacing="0" w:line="585" w:lineRule="atLeast"/>
        <w:ind w:left="0" w:right="0" w:firstLine="645"/>
        <w:rPr>
          <w:rStyle w:val="5"/>
          <w:rFonts w:hint="eastAsia" w:ascii="方正黑体简体" w:hAnsi="方正黑体简体" w:eastAsia="方正黑体简体" w:cs="方正黑体简体"/>
          <w:sz w:val="31"/>
          <w:szCs w:val="31"/>
        </w:rPr>
      </w:pPr>
    </w:p>
    <w:p>
      <w:pPr>
        <w:pStyle w:val="2"/>
        <w:keepNext w:val="0"/>
        <w:keepLines w:val="0"/>
        <w:widowControl/>
        <w:suppressLineNumbers w:val="0"/>
        <w:spacing w:before="0" w:beforeAutospacing="0" w:after="0" w:afterAutospacing="0" w:line="585" w:lineRule="atLeast"/>
        <w:ind w:left="0" w:right="0" w:firstLine="645"/>
        <w:rPr>
          <w:sz w:val="21"/>
          <w:szCs w:val="21"/>
        </w:rPr>
      </w:pPr>
      <w:r>
        <w:rPr>
          <w:rStyle w:val="5"/>
          <w:rFonts w:hint="eastAsia" w:ascii="方正黑体简体" w:hAnsi="方正黑体简体" w:eastAsia="方正黑体简体" w:cs="方正黑体简体"/>
          <w:sz w:val="31"/>
          <w:szCs w:val="31"/>
        </w:rPr>
        <w:t>二、主动公开政府信息情况</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331"/>
        <w:gridCol w:w="2046"/>
        <w:gridCol w:w="2132"/>
        <w:gridCol w:w="191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877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4"/>
                <w:szCs w:val="24"/>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信息内容</w:t>
            </w:r>
          </w:p>
        </w:tc>
        <w:tc>
          <w:tcPr>
            <w:tcW w:w="213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本年制发件数</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本年废止件数</w:t>
            </w:r>
          </w:p>
        </w:tc>
        <w:tc>
          <w:tcPr>
            <w:tcW w:w="1995"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5"/>
                <w:rFonts w:hint="eastAsia" w:ascii="方正仿宋简体" w:hAnsi="方正仿宋简体" w:eastAsia="方正仿宋简体" w:cs="方正仿宋简体"/>
                <w:sz w:val="24"/>
                <w:szCs w:val="24"/>
              </w:rPr>
              <w:t>规章</w:t>
            </w:r>
          </w:p>
        </w:tc>
        <w:tc>
          <w:tcPr>
            <w:tcW w:w="21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0</w:t>
            </w:r>
          </w:p>
        </w:tc>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5"/>
                <w:rFonts w:hint="eastAsia" w:ascii="方正仿宋简体" w:hAnsi="方正仿宋简体" w:eastAsia="方正仿宋简体" w:cs="方正仿宋简体"/>
                <w:sz w:val="24"/>
                <w:szCs w:val="24"/>
              </w:rPr>
              <w:t>行政规范性文件</w:t>
            </w:r>
          </w:p>
        </w:tc>
        <w:tc>
          <w:tcPr>
            <w:tcW w:w="21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0</w:t>
            </w:r>
          </w:p>
        </w:tc>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4"/>
                <w:szCs w:val="24"/>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5"/>
                <w:rFonts w:hint="eastAsia" w:ascii="方正仿宋简体" w:hAnsi="方正仿宋简体" w:eastAsia="方正仿宋简体" w:cs="方正仿宋简体"/>
                <w:sz w:val="24"/>
                <w:szCs w:val="24"/>
              </w:rPr>
              <w:t>行政许可</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4"/>
                <w:szCs w:val="24"/>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5"/>
                <w:rFonts w:hint="eastAsia" w:ascii="方正仿宋简体" w:hAnsi="方正仿宋简体" w:eastAsia="方正仿宋简体" w:cs="方正仿宋简体"/>
                <w:sz w:val="24"/>
                <w:szCs w:val="24"/>
              </w:rPr>
              <w:t>行政处罚</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5"/>
                <w:rFonts w:hint="eastAsia" w:ascii="方正仿宋简体" w:hAnsi="方正仿宋简体" w:eastAsia="方正仿宋简体" w:cs="方正仿宋简体"/>
                <w:sz w:val="24"/>
                <w:szCs w:val="24"/>
              </w:rPr>
              <w:t>行政强制</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4"/>
                <w:szCs w:val="24"/>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5"/>
                <w:rFonts w:hint="eastAsia" w:ascii="方正仿宋简体" w:hAnsi="方正仿宋简体" w:eastAsia="方正仿宋简体" w:cs="方正仿宋简体"/>
                <w:sz w:val="24"/>
                <w:szCs w:val="24"/>
              </w:rPr>
              <w:t>行政事业性收费</w:t>
            </w:r>
          </w:p>
        </w:tc>
        <w:tc>
          <w:tcPr>
            <w:tcW w:w="634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仿宋简体" w:hAnsi="方正仿宋简体" w:eastAsia="方正仿宋简体" w:cs="方正仿宋简体"/>
                <w:sz w:val="24"/>
                <w:szCs w:val="24"/>
              </w:rPr>
              <w:t>0</w:t>
            </w:r>
          </w:p>
        </w:tc>
      </w:tr>
    </w:tbl>
    <w:p>
      <w:pPr>
        <w:pStyle w:val="2"/>
        <w:keepNext w:val="0"/>
        <w:keepLines w:val="0"/>
        <w:widowControl/>
        <w:suppressLineNumbers w:val="0"/>
        <w:spacing w:before="60" w:beforeAutospacing="0" w:after="60" w:afterAutospacing="0" w:line="600" w:lineRule="atLeast"/>
        <w:ind w:left="0" w:right="0" w:firstLine="645"/>
        <w:rPr>
          <w:rStyle w:val="5"/>
          <w:rFonts w:hint="eastAsia" w:ascii="方正黑体简体" w:hAnsi="方正黑体简体" w:eastAsia="方正黑体简体" w:cs="方正黑体简体"/>
          <w:sz w:val="31"/>
          <w:szCs w:val="31"/>
        </w:rPr>
      </w:pPr>
    </w:p>
    <w:p>
      <w:pPr>
        <w:pStyle w:val="2"/>
        <w:keepNext w:val="0"/>
        <w:keepLines w:val="0"/>
        <w:widowControl/>
        <w:suppressLineNumbers w:val="0"/>
        <w:spacing w:before="60" w:beforeAutospacing="0" w:after="60" w:afterAutospacing="0" w:line="600" w:lineRule="atLeast"/>
        <w:ind w:left="0" w:right="0" w:firstLine="645"/>
        <w:rPr>
          <w:rStyle w:val="5"/>
          <w:rFonts w:hint="eastAsia" w:ascii="方正黑体简体" w:hAnsi="方正黑体简体" w:eastAsia="方正黑体简体" w:cs="方正黑体简体"/>
          <w:sz w:val="31"/>
          <w:szCs w:val="31"/>
        </w:rPr>
      </w:pPr>
    </w:p>
    <w:p>
      <w:pPr>
        <w:pStyle w:val="2"/>
        <w:keepNext w:val="0"/>
        <w:keepLines w:val="0"/>
        <w:widowControl/>
        <w:suppressLineNumbers w:val="0"/>
        <w:spacing w:before="60" w:beforeAutospacing="0" w:after="60" w:afterAutospacing="0" w:line="600" w:lineRule="atLeast"/>
        <w:ind w:left="0" w:right="0" w:firstLine="645"/>
        <w:rPr>
          <w:rStyle w:val="5"/>
          <w:rFonts w:hint="eastAsia" w:ascii="方正黑体简体" w:hAnsi="方正黑体简体" w:eastAsia="方正黑体简体" w:cs="方正黑体简体"/>
          <w:sz w:val="31"/>
          <w:szCs w:val="31"/>
        </w:rPr>
      </w:pPr>
    </w:p>
    <w:p>
      <w:pPr>
        <w:pStyle w:val="2"/>
        <w:keepNext w:val="0"/>
        <w:keepLines w:val="0"/>
        <w:widowControl/>
        <w:suppressLineNumbers w:val="0"/>
        <w:spacing w:before="60" w:beforeAutospacing="0" w:after="60" w:afterAutospacing="0" w:line="600" w:lineRule="atLeast"/>
        <w:ind w:left="0" w:right="0" w:firstLine="645"/>
        <w:rPr>
          <w:rStyle w:val="5"/>
          <w:rFonts w:hint="eastAsia" w:ascii="方正黑体简体" w:hAnsi="方正黑体简体" w:eastAsia="方正黑体简体" w:cs="方正黑体简体"/>
          <w:sz w:val="31"/>
          <w:szCs w:val="31"/>
        </w:rPr>
      </w:pPr>
    </w:p>
    <w:p>
      <w:pPr>
        <w:pStyle w:val="2"/>
        <w:keepNext w:val="0"/>
        <w:keepLines w:val="0"/>
        <w:widowControl/>
        <w:suppressLineNumbers w:val="0"/>
        <w:spacing w:before="60" w:beforeAutospacing="0" w:after="60" w:afterAutospacing="0" w:line="600" w:lineRule="atLeast"/>
        <w:ind w:left="0" w:right="0" w:firstLine="645"/>
        <w:rPr>
          <w:rStyle w:val="5"/>
          <w:rFonts w:hint="eastAsia" w:ascii="方正黑体简体" w:hAnsi="方正黑体简体" w:eastAsia="方正黑体简体" w:cs="方正黑体简体"/>
          <w:sz w:val="31"/>
          <w:szCs w:val="31"/>
        </w:rPr>
      </w:pPr>
    </w:p>
    <w:p>
      <w:pPr>
        <w:pStyle w:val="2"/>
        <w:keepNext w:val="0"/>
        <w:keepLines w:val="0"/>
        <w:widowControl/>
        <w:suppressLineNumbers w:val="0"/>
        <w:spacing w:before="60" w:beforeAutospacing="0" w:after="60" w:afterAutospacing="0" w:line="600" w:lineRule="atLeast"/>
        <w:ind w:left="0" w:right="0" w:firstLine="645"/>
        <w:rPr>
          <w:rStyle w:val="5"/>
          <w:rFonts w:hint="eastAsia" w:ascii="方正黑体简体" w:hAnsi="方正黑体简体" w:eastAsia="方正黑体简体" w:cs="方正黑体简体"/>
          <w:sz w:val="31"/>
          <w:szCs w:val="31"/>
        </w:rPr>
      </w:pPr>
    </w:p>
    <w:p>
      <w:pPr>
        <w:pStyle w:val="2"/>
        <w:keepNext w:val="0"/>
        <w:keepLines w:val="0"/>
        <w:widowControl/>
        <w:suppressLineNumbers w:val="0"/>
        <w:spacing w:before="60" w:beforeAutospacing="0" w:after="60" w:afterAutospacing="0" w:line="600" w:lineRule="atLeast"/>
        <w:ind w:left="0" w:right="0" w:firstLine="645"/>
        <w:rPr>
          <w:sz w:val="21"/>
          <w:szCs w:val="21"/>
        </w:rPr>
      </w:pPr>
      <w:r>
        <w:rPr>
          <w:rStyle w:val="5"/>
          <w:rFonts w:hint="eastAsia" w:ascii="方正黑体简体" w:hAnsi="方正黑体简体" w:eastAsia="方正黑体简体" w:cs="方正黑体简体"/>
          <w:sz w:val="31"/>
          <w:szCs w:val="31"/>
        </w:rPr>
        <w:t>三、收到和处理政府信息公开申请情况</w:t>
      </w:r>
    </w:p>
    <w:tbl>
      <w:tblPr>
        <w:tblStyle w:val="3"/>
        <w:tblW w:w="88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5"/>
        <w:gridCol w:w="945"/>
        <w:gridCol w:w="2880"/>
        <w:gridCol w:w="795"/>
        <w:gridCol w:w="600"/>
        <w:gridCol w:w="585"/>
        <w:gridCol w:w="600"/>
        <w:gridCol w:w="570"/>
        <w:gridCol w:w="555"/>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59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黑体简体" w:hAnsi="方正黑体简体" w:eastAsia="方正黑体简体" w:cs="方正黑体简体"/>
                <w:sz w:val="21"/>
                <w:szCs w:val="21"/>
              </w:rPr>
              <w:t>（本列数据的勾稽关系为：第一项加第二项之和，等于第三项加第四项之和）</w:t>
            </w:r>
          </w:p>
        </w:tc>
        <w:tc>
          <w:tcPr>
            <w:tcW w:w="4230"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黑体简体" w:hAnsi="方正黑体简体" w:eastAsia="方正黑体简体" w:cs="方正黑体简体"/>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9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9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黑体简体" w:hAnsi="方正黑体简体" w:eastAsia="方正黑体简体" w:cs="方正黑体简体"/>
                <w:sz w:val="21"/>
                <w:szCs w:val="21"/>
              </w:rPr>
              <w:t>自然人</w:t>
            </w:r>
          </w:p>
        </w:tc>
        <w:tc>
          <w:tcPr>
            <w:tcW w:w="291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黑体简体" w:hAnsi="方正黑体简体" w:eastAsia="方正黑体简体" w:cs="方正黑体简体"/>
                <w:sz w:val="21"/>
                <w:szCs w:val="21"/>
              </w:rPr>
              <w:t>法人或其他组织</w:t>
            </w:r>
          </w:p>
        </w:tc>
        <w:tc>
          <w:tcPr>
            <w:tcW w:w="52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黑体简体" w:hAnsi="方正黑体简体" w:eastAsia="方正黑体简体" w:cs="方正黑体简体"/>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9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9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黑体简体" w:hAnsi="方正黑体简体" w:eastAsia="方正黑体简体" w:cs="方正黑体简体"/>
                <w:sz w:val="21"/>
                <w:szCs w:val="21"/>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黑体简体" w:hAnsi="方正黑体简体" w:eastAsia="方正黑体简体" w:cs="方正黑体简体"/>
                <w:sz w:val="21"/>
                <w:szCs w:val="21"/>
              </w:rPr>
              <w:t>企业</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黑体简体" w:hAnsi="方正黑体简体" w:eastAsia="方正黑体简体" w:cs="方正黑体简体"/>
                <w:sz w:val="21"/>
                <w:szCs w:val="21"/>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黑体简体" w:hAnsi="方正黑体简体" w:eastAsia="方正黑体简体" w:cs="方正黑体简体"/>
                <w:sz w:val="21"/>
                <w:szCs w:val="21"/>
              </w:rPr>
              <w:t>机构</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黑体简体" w:hAnsi="方正黑体简体" w:eastAsia="方正黑体简体" w:cs="方正黑体简体"/>
                <w:sz w:val="21"/>
                <w:szCs w:val="21"/>
              </w:rPr>
              <w:t>社会公益组织</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黑体简体" w:hAnsi="方正黑体简体" w:eastAsia="方正黑体简体" w:cs="方正黑体简体"/>
                <w:sz w:val="21"/>
                <w:szCs w:val="21"/>
              </w:rPr>
              <w:t>法律服务机构</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黑体简体" w:hAnsi="方正黑体简体" w:eastAsia="方正黑体简体" w:cs="方正黑体简体"/>
                <w:sz w:val="21"/>
                <w:szCs w:val="21"/>
              </w:rPr>
              <w:t>其他</w:t>
            </w:r>
          </w:p>
        </w:tc>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459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一、本年新收政府信息公开申请数量</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0" w:hRule="atLeast"/>
          <w:jc w:val="center"/>
        </w:trPr>
        <w:tc>
          <w:tcPr>
            <w:tcW w:w="459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二、上年结转政府信息公开申请数量</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三、本年度办理结果</w:t>
            </w:r>
          </w:p>
        </w:tc>
        <w:tc>
          <w:tcPr>
            <w:tcW w:w="3825"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（一）予以公开</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825"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（二）部分公开（区分处理的，只计这一情形，不计其他情形）</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（三）不予公开</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1.属于国家秘密</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2.其他法律行政法规禁止公开</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3.危及“三安全一稳定”</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4.保护第三方合法权益</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5.属于三类内部事务信息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6.属于四类过程性信息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7.属于行政执法案卷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8.属于行政查询事项</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（四）无法提供</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1.本机关不掌握相关政府信息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2.没有现成信息需要另行制作</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3.补正后申请内容仍不明确</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jc w:val="left"/>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（五）不予处理</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1.信访举报投诉类申请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2.重复申请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3.要求提供公开出版物</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4.无正当理由大量反复申请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0"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5.要求行政机关确认或重新出具已获取信息</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（六）其他处理</w:t>
            </w: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1.申请人无正当理由逾期不补正、行政机关不再处理其政府信息公开申请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2.申请人逾期未按收费通知要求缴纳费用、行政机关不再处理其政府信息公开申请</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3.其他</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825"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（七）总计</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9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5"/>
                <w:rFonts w:hint="eastAsia" w:ascii="方正仿宋简体" w:hAnsi="方正仿宋简体" w:eastAsia="方正仿宋简体" w:cs="方正仿宋简体"/>
                <w:sz w:val="21"/>
                <w:szCs w:val="21"/>
              </w:rPr>
              <w:t>四、结转下年度继续办理</w:t>
            </w:r>
          </w:p>
        </w:tc>
        <w:tc>
          <w:tcPr>
            <w:tcW w:w="79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0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7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r>
    </w:tbl>
    <w:p>
      <w:pPr>
        <w:pStyle w:val="2"/>
        <w:keepNext w:val="0"/>
        <w:keepLines w:val="0"/>
        <w:widowControl/>
        <w:suppressLineNumbers w:val="0"/>
        <w:spacing w:before="0" w:beforeAutospacing="0" w:after="0" w:afterAutospacing="0" w:line="585" w:lineRule="atLeast"/>
        <w:ind w:left="0" w:right="0" w:firstLine="645"/>
        <w:rPr>
          <w:rStyle w:val="5"/>
          <w:rFonts w:hint="eastAsia" w:ascii="方正黑体简体" w:hAnsi="方正黑体简体" w:eastAsia="方正黑体简体" w:cs="方正黑体简体"/>
          <w:sz w:val="31"/>
          <w:szCs w:val="31"/>
        </w:rPr>
      </w:pPr>
    </w:p>
    <w:p>
      <w:pPr>
        <w:pStyle w:val="2"/>
        <w:keepNext w:val="0"/>
        <w:keepLines w:val="0"/>
        <w:widowControl/>
        <w:suppressLineNumbers w:val="0"/>
        <w:spacing w:before="0" w:beforeAutospacing="0" w:after="0" w:afterAutospacing="0" w:line="585" w:lineRule="atLeast"/>
        <w:ind w:left="0" w:right="0" w:firstLine="645"/>
        <w:rPr>
          <w:sz w:val="21"/>
          <w:szCs w:val="21"/>
        </w:rPr>
      </w:pPr>
      <w:r>
        <w:rPr>
          <w:rStyle w:val="5"/>
          <w:rFonts w:hint="eastAsia" w:ascii="方正黑体简体" w:hAnsi="方正黑体简体" w:eastAsia="方正黑体简体" w:cs="方正黑体简体"/>
          <w:sz w:val="31"/>
          <w:szCs w:val="31"/>
        </w:rPr>
        <w:t>四、政府信息公开行政复议、行政诉讼情况</w:t>
      </w:r>
    </w:p>
    <w:tbl>
      <w:tblPr>
        <w:tblStyle w:val="3"/>
        <w:tblW w:w="880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3"/>
        <w:gridCol w:w="613"/>
        <w:gridCol w:w="598"/>
        <w:gridCol w:w="583"/>
        <w:gridCol w:w="480"/>
        <w:gridCol w:w="644"/>
        <w:gridCol w:w="644"/>
        <w:gridCol w:w="644"/>
        <w:gridCol w:w="629"/>
        <w:gridCol w:w="450"/>
        <w:gridCol w:w="644"/>
        <w:gridCol w:w="644"/>
        <w:gridCol w:w="644"/>
        <w:gridCol w:w="554"/>
        <w:gridCol w:w="4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2887"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行政复议</w:t>
            </w:r>
          </w:p>
        </w:tc>
        <w:tc>
          <w:tcPr>
            <w:tcW w:w="5918"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3"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结果维持</w:t>
            </w:r>
          </w:p>
        </w:tc>
        <w:tc>
          <w:tcPr>
            <w:tcW w:w="613"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纠正</w:t>
            </w:r>
          </w:p>
        </w:tc>
        <w:tc>
          <w:tcPr>
            <w:tcW w:w="598"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其他</w:t>
            </w:r>
            <w:r>
              <w:rPr>
                <w:rStyle w:val="5"/>
                <w:rFonts w:hint="eastAsia" w:ascii="方正黑体简体" w:hAnsi="方正黑体简体" w:eastAsia="方正黑体简体" w:cs="方正黑体简体"/>
                <w:sz w:val="21"/>
                <w:szCs w:val="21"/>
              </w:rPr>
              <w:br w:type="textWrapping"/>
            </w:r>
            <w:r>
              <w:rPr>
                <w:rStyle w:val="5"/>
                <w:rFonts w:hint="eastAsia" w:ascii="方正黑体简体" w:hAnsi="方正黑体简体" w:eastAsia="方正黑体简体" w:cs="方正黑体简体"/>
                <w:sz w:val="21"/>
                <w:szCs w:val="21"/>
              </w:rPr>
              <w:t>结果</w:t>
            </w:r>
          </w:p>
        </w:tc>
        <w:tc>
          <w:tcPr>
            <w:tcW w:w="583"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尚未</w:t>
            </w:r>
            <w:r>
              <w:rPr>
                <w:rStyle w:val="5"/>
                <w:rFonts w:hint="eastAsia" w:ascii="方正黑体简体" w:hAnsi="方正黑体简体" w:eastAsia="方正黑体简体" w:cs="方正黑体简体"/>
                <w:sz w:val="21"/>
                <w:szCs w:val="21"/>
              </w:rPr>
              <w:br w:type="textWrapping"/>
            </w:r>
            <w:r>
              <w:rPr>
                <w:rStyle w:val="5"/>
                <w:rFonts w:hint="eastAsia" w:ascii="方正黑体简体" w:hAnsi="方正黑体简体" w:eastAsia="方正黑体简体" w:cs="方正黑体简体"/>
                <w:sz w:val="21"/>
                <w:szCs w:val="21"/>
              </w:rPr>
              <w:t>审结</w:t>
            </w:r>
          </w:p>
        </w:tc>
        <w:tc>
          <w:tcPr>
            <w:tcW w:w="48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总计</w:t>
            </w:r>
          </w:p>
        </w:tc>
        <w:tc>
          <w:tcPr>
            <w:tcW w:w="3011"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未经复议直接起诉</w:t>
            </w:r>
          </w:p>
        </w:tc>
        <w:tc>
          <w:tcPr>
            <w:tcW w:w="2907"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1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98"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83"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8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结果</w:t>
            </w:r>
            <w:r>
              <w:rPr>
                <w:rStyle w:val="5"/>
                <w:rFonts w:hint="eastAsia" w:ascii="方正黑体简体" w:hAnsi="方正黑体简体" w:eastAsia="方正黑体简体" w:cs="方正黑体简体"/>
                <w:sz w:val="21"/>
                <w:szCs w:val="21"/>
              </w:rPr>
              <w:br w:type="textWrapping"/>
            </w:r>
            <w:r>
              <w:rPr>
                <w:rStyle w:val="5"/>
                <w:rFonts w:hint="eastAsia" w:ascii="方正黑体简体" w:hAnsi="方正黑体简体" w:eastAsia="方正黑体简体" w:cs="方正黑体简体"/>
                <w:sz w:val="21"/>
                <w:szCs w:val="21"/>
              </w:rPr>
              <w:t>维持</w:t>
            </w:r>
          </w:p>
        </w:tc>
        <w:tc>
          <w:tcPr>
            <w:tcW w:w="6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结果</w:t>
            </w:r>
            <w:r>
              <w:rPr>
                <w:rStyle w:val="5"/>
                <w:rFonts w:hint="eastAsia" w:ascii="方正黑体简体" w:hAnsi="方正黑体简体" w:eastAsia="方正黑体简体" w:cs="方正黑体简体"/>
                <w:sz w:val="21"/>
                <w:szCs w:val="21"/>
              </w:rPr>
              <w:br w:type="textWrapping"/>
            </w:r>
            <w:r>
              <w:rPr>
                <w:rStyle w:val="5"/>
                <w:rFonts w:hint="eastAsia" w:ascii="方正黑体简体" w:hAnsi="方正黑体简体" w:eastAsia="方正黑体简体" w:cs="方正黑体简体"/>
                <w:sz w:val="21"/>
                <w:szCs w:val="21"/>
              </w:rPr>
              <w:t>纠正</w:t>
            </w:r>
          </w:p>
        </w:tc>
        <w:tc>
          <w:tcPr>
            <w:tcW w:w="64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其他</w:t>
            </w:r>
            <w:r>
              <w:rPr>
                <w:rStyle w:val="5"/>
                <w:rFonts w:hint="eastAsia" w:ascii="方正黑体简体" w:hAnsi="方正黑体简体" w:eastAsia="方正黑体简体" w:cs="方正黑体简体"/>
                <w:sz w:val="21"/>
                <w:szCs w:val="21"/>
              </w:rPr>
              <w:br w:type="textWrapping"/>
            </w:r>
            <w:r>
              <w:rPr>
                <w:rStyle w:val="5"/>
                <w:rFonts w:hint="eastAsia" w:ascii="方正黑体简体" w:hAnsi="方正黑体简体" w:eastAsia="方正黑体简体" w:cs="方正黑体简体"/>
                <w:sz w:val="21"/>
                <w:szCs w:val="21"/>
              </w:rPr>
              <w:t>结果</w:t>
            </w:r>
          </w:p>
        </w:tc>
        <w:tc>
          <w:tcPr>
            <w:tcW w:w="629"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尚未</w:t>
            </w:r>
            <w:r>
              <w:rPr>
                <w:rStyle w:val="5"/>
                <w:rFonts w:hint="eastAsia" w:ascii="方正黑体简体" w:hAnsi="方正黑体简体" w:eastAsia="方正黑体简体" w:cs="方正黑体简体"/>
                <w:sz w:val="21"/>
                <w:szCs w:val="21"/>
              </w:rPr>
              <w:br w:type="textWrapping"/>
            </w:r>
            <w:r>
              <w:rPr>
                <w:rStyle w:val="5"/>
                <w:rFonts w:hint="eastAsia" w:ascii="方正黑体简体" w:hAnsi="方正黑体简体" w:eastAsia="方正黑体简体" w:cs="方正黑体简体"/>
                <w:sz w:val="21"/>
                <w:szCs w:val="21"/>
              </w:rPr>
              <w:t>审结</w:t>
            </w:r>
          </w:p>
        </w:tc>
        <w:tc>
          <w:tcPr>
            <w:tcW w:w="4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总计</w:t>
            </w:r>
          </w:p>
        </w:tc>
        <w:tc>
          <w:tcPr>
            <w:tcW w:w="64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结果</w:t>
            </w:r>
            <w:r>
              <w:rPr>
                <w:rStyle w:val="5"/>
                <w:rFonts w:hint="eastAsia" w:ascii="方正黑体简体" w:hAnsi="方正黑体简体" w:eastAsia="方正黑体简体" w:cs="方正黑体简体"/>
                <w:sz w:val="21"/>
                <w:szCs w:val="21"/>
              </w:rPr>
              <w:br w:type="textWrapping"/>
            </w:r>
            <w:r>
              <w:rPr>
                <w:rStyle w:val="5"/>
                <w:rFonts w:hint="eastAsia" w:ascii="方正黑体简体" w:hAnsi="方正黑体简体" w:eastAsia="方正黑体简体" w:cs="方正黑体简体"/>
                <w:sz w:val="21"/>
                <w:szCs w:val="21"/>
              </w:rPr>
              <w:t>维持</w:t>
            </w:r>
          </w:p>
        </w:tc>
        <w:tc>
          <w:tcPr>
            <w:tcW w:w="64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结果</w:t>
            </w:r>
            <w:r>
              <w:rPr>
                <w:rStyle w:val="5"/>
                <w:rFonts w:hint="eastAsia" w:ascii="方正黑体简体" w:hAnsi="方正黑体简体" w:eastAsia="方正黑体简体" w:cs="方正黑体简体"/>
                <w:sz w:val="21"/>
                <w:szCs w:val="21"/>
              </w:rPr>
              <w:br w:type="textWrapping"/>
            </w:r>
            <w:r>
              <w:rPr>
                <w:rStyle w:val="5"/>
                <w:rFonts w:hint="eastAsia" w:ascii="方正黑体简体" w:hAnsi="方正黑体简体" w:eastAsia="方正黑体简体" w:cs="方正黑体简体"/>
                <w:sz w:val="21"/>
                <w:szCs w:val="21"/>
              </w:rPr>
              <w:t>纠正</w:t>
            </w:r>
          </w:p>
        </w:tc>
        <w:tc>
          <w:tcPr>
            <w:tcW w:w="64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其他</w:t>
            </w:r>
            <w:r>
              <w:rPr>
                <w:rStyle w:val="5"/>
                <w:rFonts w:hint="eastAsia" w:ascii="方正黑体简体" w:hAnsi="方正黑体简体" w:eastAsia="方正黑体简体" w:cs="方正黑体简体"/>
                <w:sz w:val="21"/>
                <w:szCs w:val="21"/>
              </w:rPr>
              <w:br w:type="textWrapping"/>
            </w:r>
            <w:r>
              <w:rPr>
                <w:rStyle w:val="5"/>
                <w:rFonts w:hint="eastAsia" w:ascii="方正黑体简体" w:hAnsi="方正黑体简体" w:eastAsia="方正黑体简体" w:cs="方正黑体简体"/>
                <w:sz w:val="21"/>
                <w:szCs w:val="21"/>
              </w:rPr>
              <w:t>结果</w:t>
            </w:r>
          </w:p>
        </w:tc>
        <w:tc>
          <w:tcPr>
            <w:tcW w:w="55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尚未</w:t>
            </w:r>
            <w:r>
              <w:rPr>
                <w:rStyle w:val="5"/>
                <w:rFonts w:hint="eastAsia" w:ascii="方正黑体简体" w:hAnsi="方正黑体简体" w:eastAsia="方正黑体简体" w:cs="方正黑体简体"/>
                <w:sz w:val="21"/>
                <w:szCs w:val="21"/>
              </w:rPr>
              <w:br w:type="textWrapping"/>
            </w:r>
            <w:r>
              <w:rPr>
                <w:rStyle w:val="5"/>
                <w:rFonts w:hint="eastAsia" w:ascii="方正黑体简体" w:hAnsi="方正黑体简体" w:eastAsia="方正黑体简体" w:cs="方正黑体简体"/>
                <w:sz w:val="21"/>
                <w:szCs w:val="21"/>
              </w:rPr>
              <w:t>审结</w:t>
            </w:r>
          </w:p>
        </w:tc>
        <w:tc>
          <w:tcPr>
            <w:tcW w:w="42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5" w:hRule="atLeast"/>
          <w:jc w:val="center"/>
        </w:trPr>
        <w:tc>
          <w:tcPr>
            <w:tcW w:w="61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9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4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5"/>
                <w:rFonts w:hint="eastAsia" w:ascii="方正仿宋简体" w:hAnsi="方正仿宋简体" w:eastAsia="方正仿宋简体" w:cs="方正仿宋简体"/>
                <w:sz w:val="21"/>
                <w:szCs w:val="21"/>
              </w:rPr>
              <w:t>0</w:t>
            </w:r>
          </w:p>
        </w:tc>
        <w:tc>
          <w:tcPr>
            <w:tcW w:w="6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4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64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55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方正仿宋简体" w:hAnsi="方正仿宋简体" w:eastAsia="方正仿宋简体" w:cs="方正仿宋简体"/>
                <w:sz w:val="21"/>
                <w:szCs w:val="21"/>
              </w:rPr>
              <w:t>0</w:t>
            </w:r>
          </w:p>
        </w:tc>
        <w:tc>
          <w:tcPr>
            <w:tcW w:w="42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5"/>
                <w:rFonts w:hint="eastAsia" w:ascii="方正黑体简体" w:hAnsi="方正黑体简体" w:eastAsia="方正黑体简体" w:cs="方正黑体简体"/>
                <w:sz w:val="21"/>
                <w:szCs w:val="21"/>
              </w:rPr>
              <w:t>0</w:t>
            </w:r>
          </w:p>
        </w:tc>
      </w:tr>
    </w:tbl>
    <w:p>
      <w:pPr>
        <w:pStyle w:val="2"/>
        <w:keepNext w:val="0"/>
        <w:keepLines w:val="0"/>
        <w:widowControl/>
        <w:suppressLineNumbers w:val="0"/>
        <w:spacing w:before="0" w:beforeAutospacing="0" w:after="0" w:afterAutospacing="0" w:line="585" w:lineRule="atLeast"/>
        <w:ind w:right="0" w:firstLine="622" w:firstLineChars="200"/>
        <w:rPr>
          <w:sz w:val="21"/>
          <w:szCs w:val="21"/>
        </w:rPr>
      </w:pPr>
      <w:bookmarkStart w:id="0" w:name="_GoBack"/>
      <w:bookmarkEnd w:id="0"/>
      <w:r>
        <w:rPr>
          <w:rStyle w:val="5"/>
          <w:rFonts w:hint="eastAsia" w:ascii="方正黑体简体" w:hAnsi="方正黑体简体" w:eastAsia="方正黑体简体" w:cs="方正黑体简体"/>
          <w:sz w:val="31"/>
          <w:szCs w:val="31"/>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2" w:firstLineChars="200"/>
      </w:pPr>
      <w:r>
        <w:rPr>
          <w:rStyle w:val="5"/>
          <w:rFonts w:hint="eastAsia" w:ascii="方正仿宋简体" w:hAnsi="方正仿宋简体" w:eastAsia="方正仿宋简体" w:cs="方正仿宋简体"/>
          <w:sz w:val="31"/>
          <w:szCs w:val="31"/>
          <w:shd w:val="clear" w:fill="FFFFFF"/>
        </w:rPr>
        <w:t>我中心虽然设工作人员负责进行信息公开，但因为工作人员对信息公开认真不足、不专业，很多内容公开不及时，不全面。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pPr>
      <w:r>
        <w:rPr>
          <w:rStyle w:val="5"/>
          <w:rFonts w:hint="eastAsia" w:ascii="方正仿宋简体" w:hAnsi="方正仿宋简体" w:eastAsia="方正仿宋简体" w:cs="方正仿宋简体"/>
          <w:sz w:val="31"/>
          <w:szCs w:val="31"/>
          <w:shd w:val="clear" w:fill="FFFFFF"/>
        </w:rPr>
        <w:t>2022年，我中心将严格贯彻落关于政府信息公开工作的各项要求，按照区党政办信息公开有关文件要求，更加积极主动、严谨细致地做好我中心政府信息公开工作，确保我中心政务信息及时、完整、准确发布。</w:t>
      </w:r>
    </w:p>
    <w:p>
      <w:pPr>
        <w:pStyle w:val="2"/>
        <w:keepNext w:val="0"/>
        <w:keepLines w:val="0"/>
        <w:widowControl/>
        <w:suppressLineNumbers w:val="0"/>
        <w:spacing w:before="0" w:beforeAutospacing="0" w:after="0" w:afterAutospacing="0" w:line="585" w:lineRule="atLeast"/>
        <w:ind w:left="0" w:right="0" w:firstLine="645"/>
        <w:rPr>
          <w:sz w:val="21"/>
          <w:szCs w:val="21"/>
        </w:rPr>
      </w:pPr>
      <w:r>
        <w:rPr>
          <w:rStyle w:val="5"/>
          <w:rFonts w:hint="eastAsia" w:ascii="方正黑体简体" w:hAnsi="方正黑体简体" w:eastAsia="方正黑体简体" w:cs="方正黑体简体"/>
          <w:sz w:val="31"/>
          <w:szCs w:val="31"/>
        </w:rPr>
        <w:t>六、其他需要报告的事项</w:t>
      </w:r>
    </w:p>
    <w:p>
      <w:pPr>
        <w:pStyle w:val="2"/>
        <w:keepNext w:val="0"/>
        <w:keepLines w:val="0"/>
        <w:widowControl/>
        <w:suppressLineNumbers w:val="0"/>
        <w:spacing w:before="0" w:beforeAutospacing="0" w:after="0" w:afterAutospacing="0" w:line="585" w:lineRule="atLeast"/>
        <w:ind w:left="0" w:right="0" w:firstLine="645"/>
        <w:rPr>
          <w:sz w:val="21"/>
          <w:szCs w:val="21"/>
        </w:rPr>
      </w:pPr>
      <w:r>
        <w:rPr>
          <w:rStyle w:val="5"/>
          <w:rFonts w:hint="eastAsia" w:ascii="方正仿宋简体" w:hAnsi="方正仿宋简体" w:eastAsia="方正仿宋简体" w:cs="方正仿宋简体"/>
          <w:sz w:val="31"/>
          <w:szCs w:val="31"/>
        </w:rPr>
        <w:t>无。</w:t>
      </w:r>
    </w:p>
    <w:p>
      <w:pPr>
        <w:pStyle w:val="2"/>
        <w:keepNext w:val="0"/>
        <w:keepLines w:val="0"/>
        <w:widowControl/>
        <w:suppressLineNumbers w:val="0"/>
        <w:spacing w:before="0" w:beforeAutospacing="0" w:after="0" w:afterAutospacing="0" w:line="585" w:lineRule="atLeast"/>
        <w:ind w:left="0" w:right="0"/>
        <w:rPr>
          <w:sz w:val="21"/>
          <w:szCs w:val="21"/>
        </w:rPr>
      </w:pPr>
    </w:p>
    <w:p>
      <w:pPr>
        <w:pStyle w:val="2"/>
        <w:keepNext w:val="0"/>
        <w:keepLines w:val="0"/>
        <w:widowControl/>
        <w:suppressLineNumbers w:val="0"/>
        <w:spacing w:before="0" w:beforeAutospacing="0" w:after="0" w:afterAutospacing="0" w:line="420" w:lineRule="atLeast"/>
        <w:ind w:left="0" w:right="0"/>
        <w:rPr>
          <w:sz w:val="21"/>
          <w:szCs w:val="21"/>
        </w:rPr>
      </w:pPr>
      <w:r>
        <w:rPr>
          <w:rFonts w:hint="eastAsia" w:ascii="方正小标宋简体" w:hAnsi="方正小标宋简体" w:eastAsia="方正小标宋简体" w:cs="方正小标宋简体"/>
          <w:color w:val="333333"/>
          <w:spacing w:val="0"/>
          <w:sz w:val="28"/>
          <w:szCs w:val="28"/>
          <w:shd w:val="clear" w:fill="FFFFFF"/>
        </w:rPr>
        <w:t> </w:t>
      </w:r>
    </w:p>
    <w:p>
      <w:pPr>
        <w:pStyle w:val="2"/>
        <w:keepNext w:val="0"/>
        <w:keepLines w:val="0"/>
        <w:widowControl/>
        <w:suppressLineNumbers w:val="0"/>
        <w:spacing w:before="0" w:beforeAutospacing="0" w:after="0" w:afterAutospacing="0" w:line="585" w:lineRule="atLeast"/>
        <w:ind w:left="0" w:right="0" w:firstLine="645"/>
        <w:rPr>
          <w:sz w:val="21"/>
          <w:szCs w:val="21"/>
        </w:rPr>
      </w:pPr>
      <w:r>
        <w:rPr>
          <w:rStyle w:val="5"/>
          <w:rFonts w:hint="eastAsia" w:ascii="方正仿宋简体" w:hAnsi="方正仿宋简体" w:eastAsia="方正仿宋简体" w:cs="方正仿宋简体"/>
          <w:sz w:val="31"/>
          <w:szCs w:val="31"/>
        </w:rPr>
        <w:t>   </w:t>
      </w:r>
    </w:p>
    <w:p>
      <w:pPr>
        <w:pStyle w:val="2"/>
        <w:keepNext w:val="0"/>
        <w:keepLines w:val="0"/>
        <w:widowControl/>
        <w:suppressLineNumbers w:val="0"/>
        <w:spacing w:before="0" w:beforeAutospacing="0" w:after="0" w:afterAutospacing="0" w:line="585" w:lineRule="atLeast"/>
        <w:ind w:left="0" w:right="0" w:firstLine="645"/>
        <w:rPr>
          <w:sz w:val="21"/>
          <w:szCs w:val="21"/>
        </w:rPr>
      </w:pPr>
    </w:p>
    <w:p>
      <w:pPr>
        <w:pStyle w:val="2"/>
        <w:keepNext w:val="0"/>
        <w:keepLines w:val="0"/>
        <w:widowControl/>
        <w:suppressLineNumbers w:val="0"/>
        <w:spacing w:before="0" w:beforeAutospacing="0" w:after="0" w:afterAutospacing="0" w:line="420" w:lineRule="atLeast"/>
        <w:ind w:left="0" w:right="0"/>
        <w:rPr>
          <w:sz w:val="21"/>
          <w:szCs w:val="21"/>
        </w:rPr>
      </w:pPr>
      <w:r>
        <w:rPr>
          <w:rFonts w:hint="default" w:ascii="Times New Roman" w:hAnsi="Times New Roman" w:cs="Times New Roman"/>
          <w:sz w:val="21"/>
          <w:szCs w:val="21"/>
        </w:rPr>
        <w:t> </w:t>
      </w:r>
    </w:p>
    <w:p>
      <w:pPr>
        <w:pStyle w:val="2"/>
        <w:keepNext w:val="0"/>
        <w:keepLines w:val="0"/>
        <w:widowControl/>
        <w:suppressLineNumbers w:val="0"/>
        <w:spacing w:before="0" w:beforeAutospacing="0" w:after="0" w:afterAutospacing="0" w:line="420" w:lineRule="atLeast"/>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E2C05"/>
    <w:rsid w:val="14CF30FB"/>
    <w:rsid w:val="281D3C96"/>
    <w:rsid w:val="365A5072"/>
    <w:rsid w:val="41BE2C05"/>
    <w:rsid w:val="4D7E079B"/>
    <w:rsid w:val="6A4E5AB3"/>
    <w:rsid w:val="775B5DB0"/>
    <w:rsid w:val="7FAA2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2032</Words>
  <Characters>2098</Characters>
  <Lines>0</Lines>
  <Paragraphs>0</Paragraphs>
  <TotalTime>12</TotalTime>
  <ScaleCrop>false</ScaleCrop>
  <LinksUpToDate>false</LinksUpToDate>
  <CharactersWithSpaces>2104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2022-03-07T02:35:00Z</dcterms:created>
  <dc:creator>木偶人。</dc:creator>
  <cp:lastModifiedBy>刘政委</cp:lastModifiedBy>
  <dcterms:modified xsi:type="dcterms:W3CDTF">2022-03-09T07:53:13Z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0C19DEE2947F434D971852CA0A6017B4</vt:lpwstr>
  </property>
</Properties>
</file>