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312" w:afterLines="100"/>
        <w:jc w:val="center"/>
        <w:rPr>
          <w:rFonts w:ascii="Times New Roman" w:hAnsi="Times New Roman" w:eastAsia="方正粗黑宋简体"/>
          <w:color w:val="000000" w:themeColor="text1"/>
          <w:sz w:val="44"/>
          <w:szCs w:val="44"/>
          <w14:textFill>
            <w14:solidFill>
              <w14:schemeClr w14:val="tx1"/>
            </w14:solidFill>
          </w14:textFill>
        </w:rPr>
      </w:pPr>
    </w:p>
    <w:p>
      <w:pPr>
        <w:jc w:val="center"/>
        <w:rPr>
          <w:rFonts w:ascii="方正小标宋简体" w:hAnsi="Times New Roman" w:eastAsia="方正小标宋简体"/>
          <w:b/>
          <w:color w:val="000000" w:themeColor="text1"/>
          <w:sz w:val="48"/>
          <w:szCs w:val="44"/>
          <w14:textFill>
            <w14:solidFill>
              <w14:schemeClr w14:val="tx1"/>
            </w14:solidFill>
          </w14:textFill>
        </w:rPr>
      </w:pPr>
      <w:r>
        <w:rPr>
          <w:rFonts w:hint="eastAsia" w:ascii="方正小标宋简体" w:hAnsi="Times New Roman" w:eastAsia="方正小标宋简体"/>
          <w:b/>
          <w:color w:val="000000" w:themeColor="text1"/>
          <w:sz w:val="48"/>
          <w:szCs w:val="44"/>
          <w14:textFill>
            <w14:solidFill>
              <w14:schemeClr w14:val="tx1"/>
            </w14:solidFill>
          </w14:textFill>
        </w:rPr>
        <w:t>济宁太白湖新区畜禽养殖污染防治规划（2021-2025年）</w:t>
      </w:r>
    </w:p>
    <w:p>
      <w:pPr>
        <w:spacing w:after="312" w:afterLines="100"/>
        <w:jc w:val="center"/>
        <w:rPr>
          <w:rFonts w:ascii="Times New Roman" w:hAnsi="Times New Roman" w:eastAsiaTheme="minorEastAsia"/>
          <w:color w:val="000000" w:themeColor="text1"/>
          <w:sz w:val="44"/>
          <w:szCs w:val="44"/>
          <w14:textFill>
            <w14:solidFill>
              <w14:schemeClr w14:val="tx1"/>
            </w14:solidFill>
          </w14:textFill>
        </w:rPr>
      </w:pPr>
    </w:p>
    <w:p>
      <w:pPr>
        <w:spacing w:after="312" w:afterLines="100"/>
        <w:jc w:val="center"/>
        <w:rPr>
          <w:rFonts w:ascii="Times New Roman" w:hAnsi="Times New Roman" w:eastAsiaTheme="minorEastAsia"/>
          <w:color w:val="000000" w:themeColor="text1"/>
          <w:sz w:val="44"/>
          <w:szCs w:val="44"/>
          <w14:textFill>
            <w14:solidFill>
              <w14:schemeClr w14:val="tx1"/>
            </w14:solidFill>
          </w14:textFill>
        </w:rPr>
      </w:pPr>
    </w:p>
    <w:p>
      <w:pPr>
        <w:spacing w:after="312" w:afterLines="100"/>
        <w:jc w:val="center"/>
        <w:rPr>
          <w:rFonts w:ascii="Times New Roman" w:hAnsi="Times New Roman" w:eastAsiaTheme="minorEastAsia"/>
          <w:color w:val="000000" w:themeColor="text1"/>
          <w:sz w:val="44"/>
          <w:szCs w:val="44"/>
          <w14:textFill>
            <w14:solidFill>
              <w14:schemeClr w14:val="tx1"/>
            </w14:solidFill>
          </w14:textFill>
        </w:rPr>
      </w:pPr>
    </w:p>
    <w:p>
      <w:pPr>
        <w:spacing w:after="312" w:afterLines="100"/>
        <w:rPr>
          <w:rFonts w:ascii="Times New Roman" w:hAnsi="Times New Roman" w:eastAsiaTheme="minorEastAsia"/>
          <w:color w:val="000000" w:themeColor="text1"/>
          <w:sz w:val="44"/>
          <w:szCs w:val="44"/>
          <w14:textFill>
            <w14:solidFill>
              <w14:schemeClr w14:val="tx1"/>
            </w14:solidFill>
          </w14:textFill>
        </w:rPr>
      </w:pPr>
    </w:p>
    <w:p>
      <w:pPr>
        <w:spacing w:after="312" w:afterLines="100"/>
        <w:rPr>
          <w:rFonts w:ascii="Times New Roman" w:hAnsi="Times New Roman" w:eastAsiaTheme="minorEastAsia"/>
          <w:color w:val="000000" w:themeColor="text1"/>
          <w:sz w:val="44"/>
          <w:szCs w:val="44"/>
          <w14:textFill>
            <w14:solidFill>
              <w14:schemeClr w14:val="tx1"/>
            </w14:solidFill>
          </w14:textFill>
        </w:rPr>
      </w:pPr>
    </w:p>
    <w:p>
      <w:pPr>
        <w:spacing w:after="312" w:afterLines="100"/>
        <w:rPr>
          <w:rFonts w:ascii="Times New Roman" w:hAnsi="Times New Roman" w:eastAsiaTheme="minorEastAsia"/>
          <w:color w:val="000000" w:themeColor="text1"/>
          <w:sz w:val="44"/>
          <w:szCs w:val="44"/>
          <w14:textFill>
            <w14:solidFill>
              <w14:schemeClr w14:val="tx1"/>
            </w14:solidFill>
          </w14:textFill>
        </w:rPr>
      </w:pPr>
    </w:p>
    <w:p>
      <w:pPr>
        <w:jc w:val="center"/>
        <w:rPr>
          <w:rFonts w:ascii="Times New Roman" w:hAnsi="Times New Roman" w:eastAsiaTheme="minorEastAsia"/>
          <w:color w:val="000000" w:themeColor="text1"/>
          <w:sz w:val="36"/>
          <w:szCs w:val="32"/>
          <w14:textFill>
            <w14:solidFill>
              <w14:schemeClr w14:val="tx1"/>
            </w14:solidFill>
          </w14:textFill>
        </w:rPr>
      </w:pPr>
    </w:p>
    <w:p>
      <w:pPr>
        <w:jc w:val="center"/>
        <w:rPr>
          <w:rFonts w:ascii="Times New Roman" w:hAnsi="Times New Roman" w:eastAsiaTheme="minorEastAsia"/>
          <w:color w:val="000000" w:themeColor="text1"/>
          <w:sz w:val="36"/>
          <w:szCs w:val="32"/>
          <w14:textFill>
            <w14:solidFill>
              <w14:schemeClr w14:val="tx1"/>
            </w14:solidFill>
          </w14:textFill>
        </w:rPr>
      </w:pPr>
    </w:p>
    <w:p>
      <w:pPr>
        <w:jc w:val="center"/>
        <w:rPr>
          <w:rFonts w:ascii="Times New Roman" w:hAnsi="Times New Roman" w:eastAsiaTheme="minorEastAsia"/>
          <w:color w:val="000000" w:themeColor="text1"/>
          <w:sz w:val="36"/>
          <w:szCs w:val="32"/>
          <w14:textFill>
            <w14:solidFill>
              <w14:schemeClr w14:val="tx1"/>
            </w14:solidFill>
          </w14:textFill>
        </w:rPr>
      </w:pPr>
    </w:p>
    <w:p>
      <w:pPr>
        <w:jc w:val="center"/>
        <w:rPr>
          <w:rFonts w:ascii="Times New Roman" w:hAnsi="Times New Roman" w:eastAsiaTheme="minorEastAsia"/>
          <w:color w:val="000000" w:themeColor="text1"/>
          <w:sz w:val="36"/>
          <w:szCs w:val="32"/>
          <w14:textFill>
            <w14:solidFill>
              <w14:schemeClr w14:val="tx1"/>
            </w14:solidFill>
          </w14:textFill>
        </w:rPr>
      </w:pPr>
    </w:p>
    <w:p>
      <w:pPr>
        <w:jc w:val="center"/>
        <w:rPr>
          <w:rFonts w:ascii="Times New Roman" w:hAnsi="Times New Roman" w:eastAsia="方正粗黑宋简体"/>
          <w:b/>
          <w:color w:val="000000" w:themeColor="text1"/>
          <w:sz w:val="44"/>
          <w:szCs w:val="44"/>
          <w14:textFill>
            <w14:solidFill>
              <w14:schemeClr w14:val="tx1"/>
            </w14:solidFill>
          </w14:textFill>
        </w:rPr>
      </w:pPr>
    </w:p>
    <w:p>
      <w:pPr>
        <w:jc w:val="center"/>
        <w:rPr>
          <w:rFonts w:ascii="方正小标宋简体" w:hAnsi="Times New Roman" w:eastAsia="方正小标宋简体"/>
          <w:b/>
          <w:color w:val="000000" w:themeColor="text1"/>
          <w:sz w:val="40"/>
          <w:szCs w:val="44"/>
          <w14:textFill>
            <w14:solidFill>
              <w14:schemeClr w14:val="tx1"/>
            </w14:solidFill>
          </w14:textFill>
        </w:rPr>
      </w:pPr>
      <w:r>
        <w:rPr>
          <w:rFonts w:hint="eastAsia" w:ascii="方正小标宋简体" w:hAnsi="Times New Roman" w:eastAsia="方正小标宋简体"/>
          <w:b/>
          <w:color w:val="000000" w:themeColor="text1"/>
          <w:sz w:val="40"/>
          <w:szCs w:val="44"/>
          <w14:textFill>
            <w14:solidFill>
              <w14:schemeClr w14:val="tx1"/>
            </w14:solidFill>
          </w14:textFill>
        </w:rPr>
        <w:t>济宁太白湖新区管委会</w:t>
      </w:r>
    </w:p>
    <w:p>
      <w:pPr>
        <w:jc w:val="center"/>
        <w:rPr>
          <w:rFonts w:ascii="方正小标宋简体" w:hAnsi="Times New Roman" w:eastAsia="方正小标宋简体"/>
          <w:b/>
          <w:color w:val="000000" w:themeColor="text1"/>
          <w:sz w:val="44"/>
          <w:szCs w:val="44"/>
          <w14:textFill>
            <w14:solidFill>
              <w14:schemeClr w14:val="tx1"/>
            </w14:solidFill>
          </w14:textFill>
        </w:rPr>
        <w:sectPr>
          <w:footerReference r:id="rId3" w:type="default"/>
          <w:pgSz w:w="11906" w:h="16838"/>
          <w:pgMar w:top="1440" w:right="1800" w:bottom="1440" w:left="1800" w:header="851" w:footer="992" w:gutter="0"/>
          <w:pgNumType w:fmt="upperRoman" w:start="1" w:chapStyle="1"/>
          <w:cols w:space="425" w:num="1"/>
          <w:docGrid w:type="lines" w:linePitch="312" w:charSpace="0"/>
        </w:sectPr>
      </w:pPr>
      <w:r>
        <w:rPr>
          <w:rFonts w:hint="eastAsia" w:ascii="方正小标宋简体" w:hAnsi="Times New Roman" w:eastAsia="方正小标宋简体"/>
          <w:b/>
          <w:color w:val="000000" w:themeColor="text1"/>
          <w:sz w:val="40"/>
          <w:szCs w:val="44"/>
          <w14:textFill>
            <w14:solidFill>
              <w14:schemeClr w14:val="tx1"/>
            </w14:solidFill>
          </w14:textFill>
        </w:rPr>
        <w:t>2023年6月</w:t>
      </w:r>
    </w:p>
    <w:p>
      <w:pPr>
        <w:jc w:val="center"/>
        <w:rPr>
          <w:rFonts w:ascii="Times New Roman" w:hAnsi="Times New Roman" w:eastAsiaTheme="minorEastAsia"/>
          <w:color w:val="000000" w:themeColor="text1"/>
          <w14:textFill>
            <w14:solidFill>
              <w14:schemeClr w14:val="tx1"/>
            </w14:solidFill>
          </w14:textFill>
        </w:rPr>
        <w:sectPr>
          <w:pgSz w:w="11906" w:h="16838"/>
          <w:pgMar w:top="1440" w:right="1800" w:bottom="1440" w:left="1800" w:header="851" w:footer="992" w:gutter="0"/>
          <w:pgNumType w:fmt="upperRoman" w:start="1" w:chapStyle="1"/>
          <w:cols w:space="425" w:num="1"/>
          <w:docGrid w:type="lines" w:linePitch="312" w:charSpace="0"/>
        </w:sectPr>
      </w:pPr>
    </w:p>
    <w:p>
      <w:pPr>
        <w:pStyle w:val="47"/>
        <w:spacing w:line="360" w:lineRule="auto"/>
        <w:jc w:val="center"/>
        <w:rPr>
          <w:rFonts w:ascii="方正楷体简体" w:hAnsi="Times New Roman" w:eastAsia="方正楷体简体"/>
          <w:color w:val="000000" w:themeColor="text1"/>
          <w:sz w:val="36"/>
          <w:szCs w:val="36"/>
          <w14:textFill>
            <w14:solidFill>
              <w14:schemeClr w14:val="tx1"/>
            </w14:solidFill>
          </w14:textFill>
        </w:rPr>
      </w:pPr>
      <w:r>
        <w:rPr>
          <w:rFonts w:hint="eastAsia" w:ascii="方正楷体简体" w:hAnsi="Times New Roman" w:eastAsia="方正楷体简体"/>
          <w:color w:val="000000" w:themeColor="text1"/>
          <w:sz w:val="36"/>
          <w:szCs w:val="36"/>
          <w:lang w:val="zh-CN"/>
          <w14:textFill>
            <w14:solidFill>
              <w14:schemeClr w14:val="tx1"/>
            </w14:solidFill>
          </w14:textFill>
        </w:rPr>
        <w:t>目  录</w:t>
      </w:r>
    </w:p>
    <w:p>
      <w:pPr>
        <w:pStyle w:val="19"/>
        <w:rPr>
          <w:rFonts w:ascii="Times New Roman" w:hAnsi="Times New Roman" w:eastAsiaTheme="minorEastAsia"/>
          <w:sz w:val="32"/>
          <w:szCs w:val="32"/>
        </w:rPr>
      </w:pPr>
      <w:r>
        <w:rPr>
          <w:rFonts w:ascii="Times New Roman" w:hAnsi="Times New Roman" w:eastAsia="方正仿宋简体"/>
          <w:color w:val="000000" w:themeColor="text1"/>
          <w:sz w:val="32"/>
          <w:szCs w:val="32"/>
          <w14:textFill>
            <w14:solidFill>
              <w14:schemeClr w14:val="tx1"/>
            </w14:solidFill>
          </w14:textFill>
        </w:rPr>
        <w:fldChar w:fldCharType="begin"/>
      </w:r>
      <w:r>
        <w:rPr>
          <w:rFonts w:ascii="Times New Roman" w:hAnsi="Times New Roman" w:eastAsia="方正仿宋简体"/>
          <w:color w:val="000000" w:themeColor="text1"/>
          <w:sz w:val="32"/>
          <w:szCs w:val="32"/>
          <w14:textFill>
            <w14:solidFill>
              <w14:schemeClr w14:val="tx1"/>
            </w14:solidFill>
          </w14:textFill>
        </w:rPr>
        <w:instrText xml:space="preserve"> TOC \o "1-3" \h \z \u </w:instrText>
      </w:r>
      <w:r>
        <w:rPr>
          <w:rFonts w:ascii="Times New Roman" w:hAnsi="Times New Roman" w:eastAsia="方正仿宋简体"/>
          <w:color w:val="000000" w:themeColor="text1"/>
          <w:sz w:val="32"/>
          <w:szCs w:val="32"/>
          <w14:textFill>
            <w14:solidFill>
              <w14:schemeClr w14:val="tx1"/>
            </w14:solidFill>
          </w14:textFill>
        </w:rPr>
        <w:fldChar w:fldCharType="separate"/>
      </w:r>
      <w:r>
        <w:fldChar w:fldCharType="begin"/>
      </w:r>
      <w:r>
        <w:instrText xml:space="preserve"> HYPERLINK \l "_Toc138888940" </w:instrText>
      </w:r>
      <w:r>
        <w:fldChar w:fldCharType="separate"/>
      </w:r>
      <w:r>
        <w:rPr>
          <w:rStyle w:val="30"/>
          <w:rFonts w:ascii="Times New Roman" w:hAnsi="Times New Roman" w:eastAsia="方正黑体简体"/>
          <w:sz w:val="32"/>
          <w:szCs w:val="32"/>
        </w:rPr>
        <w:t>1总则</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_Toc138888940 \h </w:instrText>
      </w:r>
      <w:r>
        <w:rPr>
          <w:rFonts w:ascii="Times New Roman" w:hAnsi="Times New Roman"/>
          <w:sz w:val="32"/>
          <w:szCs w:val="32"/>
        </w:rPr>
        <w:fldChar w:fldCharType="separate"/>
      </w:r>
      <w:r>
        <w:rPr>
          <w:rFonts w:ascii="Times New Roman" w:hAnsi="Times New Roman"/>
          <w:sz w:val="32"/>
          <w:szCs w:val="32"/>
        </w:rPr>
        <w:t>1</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"_Toc138888941" </w:instrText>
      </w:r>
      <w:r>
        <w:fldChar w:fldCharType="separate"/>
      </w:r>
      <w:r>
        <w:rPr>
          <w:rStyle w:val="30"/>
          <w:rFonts w:ascii="Times New Roman" w:hAnsi="Times New Roman" w:eastAsia="方正楷体简体"/>
          <w:sz w:val="32"/>
          <w:szCs w:val="32"/>
        </w:rPr>
        <w:t>1.1规划背景</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_Toc138888941 \h </w:instrText>
      </w:r>
      <w:r>
        <w:rPr>
          <w:rFonts w:ascii="Times New Roman" w:hAnsi="Times New Roman"/>
          <w:sz w:val="32"/>
          <w:szCs w:val="32"/>
        </w:rPr>
        <w:fldChar w:fldCharType="separate"/>
      </w:r>
      <w:r>
        <w:rPr>
          <w:rFonts w:ascii="Times New Roman" w:hAnsi="Times New Roman"/>
          <w:sz w:val="32"/>
          <w:szCs w:val="32"/>
        </w:rPr>
        <w:t>1</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"_Toc138888942" </w:instrText>
      </w:r>
      <w:r>
        <w:fldChar w:fldCharType="separate"/>
      </w:r>
      <w:r>
        <w:rPr>
          <w:rStyle w:val="30"/>
          <w:rFonts w:ascii="Times New Roman" w:hAnsi="Times New Roman" w:eastAsia="方正楷体简体"/>
          <w:sz w:val="32"/>
          <w:szCs w:val="32"/>
        </w:rPr>
        <w:t>1.2编制依据</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_Toc138888942 \h </w:instrText>
      </w:r>
      <w:r>
        <w:rPr>
          <w:rFonts w:ascii="Times New Roman" w:hAnsi="Times New Roman"/>
          <w:sz w:val="32"/>
          <w:szCs w:val="32"/>
        </w:rPr>
        <w:fldChar w:fldCharType="separate"/>
      </w:r>
      <w:r>
        <w:rPr>
          <w:rFonts w:ascii="Times New Roman" w:hAnsi="Times New Roman"/>
          <w:sz w:val="32"/>
          <w:szCs w:val="32"/>
        </w:rPr>
        <w:t>3</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"_Toc138888943" </w:instrText>
      </w:r>
      <w:r>
        <w:fldChar w:fldCharType="separate"/>
      </w:r>
      <w:r>
        <w:rPr>
          <w:rStyle w:val="30"/>
          <w:rFonts w:ascii="Times New Roman" w:hAnsi="Times New Roman" w:eastAsia="方正仿宋简体"/>
          <w:sz w:val="32"/>
          <w:szCs w:val="32"/>
        </w:rPr>
        <w:t>1.2.1法律法规</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_Toc138888943 \h </w:instrText>
      </w:r>
      <w:r>
        <w:rPr>
          <w:rFonts w:ascii="Times New Roman" w:hAnsi="Times New Roman"/>
          <w:sz w:val="32"/>
          <w:szCs w:val="32"/>
        </w:rPr>
        <w:fldChar w:fldCharType="separate"/>
      </w:r>
      <w:r>
        <w:rPr>
          <w:rFonts w:ascii="Times New Roman" w:hAnsi="Times New Roman"/>
          <w:sz w:val="32"/>
          <w:szCs w:val="32"/>
        </w:rPr>
        <w:t>3</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"_Toc138888944" </w:instrText>
      </w:r>
      <w:r>
        <w:fldChar w:fldCharType="separate"/>
      </w:r>
      <w:r>
        <w:rPr>
          <w:rStyle w:val="30"/>
          <w:rFonts w:ascii="Times New Roman" w:hAnsi="Times New Roman" w:eastAsia="方正仿宋简体"/>
          <w:sz w:val="32"/>
          <w:szCs w:val="32"/>
        </w:rPr>
        <w:t>1.2.2政策文件</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_Toc138888944 \h </w:instrText>
      </w:r>
      <w:r>
        <w:rPr>
          <w:rFonts w:ascii="Times New Roman" w:hAnsi="Times New Roman"/>
          <w:sz w:val="32"/>
          <w:szCs w:val="32"/>
        </w:rPr>
        <w:fldChar w:fldCharType="separate"/>
      </w:r>
      <w:r>
        <w:rPr>
          <w:rFonts w:ascii="Times New Roman" w:hAnsi="Times New Roman"/>
          <w:sz w:val="32"/>
          <w:szCs w:val="32"/>
        </w:rPr>
        <w:t>4</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"_Toc138888945" </w:instrText>
      </w:r>
      <w:r>
        <w:fldChar w:fldCharType="separate"/>
      </w:r>
      <w:r>
        <w:rPr>
          <w:rStyle w:val="30"/>
          <w:rFonts w:ascii="Times New Roman" w:hAnsi="Times New Roman" w:eastAsia="方正仿宋简体"/>
          <w:sz w:val="32"/>
          <w:szCs w:val="32"/>
        </w:rPr>
        <w:t>1.2.3技术规范及标准</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_Toc138888945 \h </w:instrText>
      </w:r>
      <w:r>
        <w:rPr>
          <w:rFonts w:ascii="Times New Roman" w:hAnsi="Times New Roman"/>
          <w:sz w:val="32"/>
          <w:szCs w:val="32"/>
        </w:rPr>
        <w:fldChar w:fldCharType="separate"/>
      </w:r>
      <w:r>
        <w:rPr>
          <w:rFonts w:ascii="Times New Roman" w:hAnsi="Times New Roman"/>
          <w:sz w:val="32"/>
          <w:szCs w:val="32"/>
        </w:rPr>
        <w:t>6</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"_Toc138888946" </w:instrText>
      </w:r>
      <w:r>
        <w:fldChar w:fldCharType="separate"/>
      </w:r>
      <w:r>
        <w:rPr>
          <w:rStyle w:val="30"/>
          <w:rFonts w:ascii="Times New Roman" w:hAnsi="Times New Roman" w:eastAsia="方正仿宋简体"/>
          <w:sz w:val="32"/>
          <w:szCs w:val="32"/>
        </w:rPr>
        <w:t>1.2.4参考资料</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_Toc138888946 \h </w:instrText>
      </w:r>
      <w:r>
        <w:rPr>
          <w:rFonts w:ascii="Times New Roman" w:hAnsi="Times New Roman"/>
          <w:sz w:val="32"/>
          <w:szCs w:val="32"/>
        </w:rPr>
        <w:fldChar w:fldCharType="separate"/>
      </w:r>
      <w:r>
        <w:rPr>
          <w:rFonts w:ascii="Times New Roman" w:hAnsi="Times New Roman"/>
          <w:sz w:val="32"/>
          <w:szCs w:val="32"/>
        </w:rPr>
        <w:t>8</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"_Toc138888947" </w:instrText>
      </w:r>
      <w:r>
        <w:fldChar w:fldCharType="separate"/>
      </w:r>
      <w:r>
        <w:rPr>
          <w:rStyle w:val="30"/>
          <w:rFonts w:ascii="Times New Roman" w:hAnsi="Times New Roman" w:eastAsia="方正楷体简体"/>
          <w:sz w:val="32"/>
          <w:szCs w:val="32"/>
        </w:rPr>
        <w:t>1.3规划期限及范围</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_Toc138888947 \h </w:instrText>
      </w:r>
      <w:r>
        <w:rPr>
          <w:rFonts w:ascii="Times New Roman" w:hAnsi="Times New Roman"/>
          <w:sz w:val="32"/>
          <w:szCs w:val="32"/>
        </w:rPr>
        <w:fldChar w:fldCharType="separate"/>
      </w:r>
      <w:r>
        <w:rPr>
          <w:rFonts w:ascii="Times New Roman" w:hAnsi="Times New Roman"/>
          <w:sz w:val="32"/>
          <w:szCs w:val="32"/>
        </w:rPr>
        <w:t>9</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"_Toc138888948" </w:instrText>
      </w:r>
      <w:r>
        <w:fldChar w:fldCharType="separate"/>
      </w:r>
      <w:r>
        <w:rPr>
          <w:rStyle w:val="30"/>
          <w:rFonts w:ascii="Times New Roman" w:hAnsi="Times New Roman" w:eastAsia="方正楷体简体"/>
          <w:sz w:val="32"/>
          <w:szCs w:val="32"/>
        </w:rPr>
        <w:t>1.4规模认定</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_Toc138888948 \h </w:instrText>
      </w:r>
      <w:r>
        <w:rPr>
          <w:rFonts w:ascii="Times New Roman" w:hAnsi="Times New Roman"/>
          <w:sz w:val="32"/>
          <w:szCs w:val="32"/>
        </w:rPr>
        <w:fldChar w:fldCharType="separate"/>
      </w:r>
      <w:r>
        <w:rPr>
          <w:rFonts w:ascii="Times New Roman" w:hAnsi="Times New Roman"/>
          <w:sz w:val="32"/>
          <w:szCs w:val="32"/>
        </w:rPr>
        <w:t>9</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"_Toc138888949" </w:instrText>
      </w:r>
      <w:r>
        <w:fldChar w:fldCharType="separate"/>
      </w:r>
      <w:r>
        <w:rPr>
          <w:rStyle w:val="30"/>
          <w:rFonts w:ascii="Times New Roman" w:hAnsi="Times New Roman" w:eastAsia="方正仿宋简体"/>
          <w:sz w:val="32"/>
          <w:szCs w:val="32"/>
        </w:rPr>
        <w:t>1.4.1畜禽规模养殖场</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_Toc138888949 \h </w:instrText>
      </w:r>
      <w:r>
        <w:rPr>
          <w:rFonts w:ascii="Times New Roman" w:hAnsi="Times New Roman"/>
          <w:sz w:val="32"/>
          <w:szCs w:val="32"/>
        </w:rPr>
        <w:fldChar w:fldCharType="separate"/>
      </w:r>
      <w:r>
        <w:rPr>
          <w:rFonts w:ascii="Times New Roman" w:hAnsi="Times New Roman"/>
          <w:sz w:val="32"/>
          <w:szCs w:val="32"/>
        </w:rPr>
        <w:t>9</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"_Toc138888950" </w:instrText>
      </w:r>
      <w:r>
        <w:fldChar w:fldCharType="separate"/>
      </w:r>
      <w:r>
        <w:rPr>
          <w:rStyle w:val="30"/>
          <w:rFonts w:ascii="Times New Roman" w:hAnsi="Times New Roman" w:eastAsia="方正仿宋简体"/>
          <w:sz w:val="32"/>
          <w:szCs w:val="32"/>
        </w:rPr>
        <w:t>1.4.2规模以下养殖户</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_Toc138888950 \h </w:instrText>
      </w:r>
      <w:r>
        <w:rPr>
          <w:rFonts w:ascii="Times New Roman" w:hAnsi="Times New Roman"/>
          <w:sz w:val="32"/>
          <w:szCs w:val="32"/>
        </w:rPr>
        <w:fldChar w:fldCharType="separate"/>
      </w:r>
      <w:r>
        <w:rPr>
          <w:rFonts w:ascii="Times New Roman" w:hAnsi="Times New Roman"/>
          <w:sz w:val="32"/>
          <w:szCs w:val="32"/>
        </w:rPr>
        <w:t>10</w:t>
      </w:r>
      <w:r>
        <w:rPr>
          <w:rFonts w:ascii="Times New Roman" w:hAnsi="Times New Roman"/>
          <w:sz w:val="32"/>
          <w:szCs w:val="32"/>
        </w:rPr>
        <w:fldChar w:fldCharType="end"/>
      </w:r>
      <w:r>
        <w:rPr>
          <w:rFonts w:ascii="Times New Roman" w:hAnsi="Times New Roman"/>
          <w:sz w:val="32"/>
          <w:szCs w:val="32"/>
        </w:rPr>
        <w:fldChar w:fldCharType="end"/>
      </w:r>
    </w:p>
    <w:p>
      <w:pPr>
        <w:pStyle w:val="19"/>
        <w:rPr>
          <w:rFonts w:ascii="Times New Roman" w:hAnsi="Times New Roman" w:eastAsiaTheme="minorEastAsia"/>
          <w:sz w:val="32"/>
          <w:szCs w:val="32"/>
        </w:rPr>
      </w:pPr>
      <w:r>
        <w:fldChar w:fldCharType="begin"/>
      </w:r>
      <w:r>
        <w:instrText xml:space="preserve"> HYPERLINK \l "_Toc138888951" </w:instrText>
      </w:r>
      <w:r>
        <w:fldChar w:fldCharType="separate"/>
      </w:r>
      <w:r>
        <w:rPr>
          <w:rStyle w:val="30"/>
          <w:rFonts w:ascii="Times New Roman" w:hAnsi="Times New Roman" w:eastAsia="方正黑体简体"/>
          <w:sz w:val="32"/>
          <w:szCs w:val="32"/>
        </w:rPr>
        <w:t>2区域概况</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_Toc138888951 \h </w:instrText>
      </w:r>
      <w:r>
        <w:rPr>
          <w:rFonts w:ascii="Times New Roman" w:hAnsi="Times New Roman"/>
          <w:sz w:val="32"/>
          <w:szCs w:val="32"/>
        </w:rPr>
        <w:fldChar w:fldCharType="separate"/>
      </w:r>
      <w:r>
        <w:rPr>
          <w:rFonts w:ascii="Times New Roman" w:hAnsi="Times New Roman"/>
          <w:sz w:val="32"/>
          <w:szCs w:val="32"/>
        </w:rPr>
        <w:t>12</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"_Toc138888952" </w:instrText>
      </w:r>
      <w:r>
        <w:fldChar w:fldCharType="separate"/>
      </w:r>
      <w:r>
        <w:rPr>
          <w:rStyle w:val="30"/>
          <w:rFonts w:ascii="Times New Roman" w:hAnsi="Times New Roman" w:eastAsia="方正楷体简体"/>
          <w:sz w:val="32"/>
          <w:szCs w:val="32"/>
        </w:rPr>
        <w:t>2.1自然气候条件</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_Toc138888952 \h </w:instrText>
      </w:r>
      <w:r>
        <w:rPr>
          <w:rFonts w:ascii="Times New Roman" w:hAnsi="Times New Roman"/>
          <w:sz w:val="32"/>
          <w:szCs w:val="32"/>
        </w:rPr>
        <w:fldChar w:fldCharType="separate"/>
      </w:r>
      <w:r>
        <w:rPr>
          <w:rFonts w:ascii="Times New Roman" w:hAnsi="Times New Roman"/>
          <w:sz w:val="32"/>
          <w:szCs w:val="32"/>
        </w:rPr>
        <w:t>12</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"_Toc138888953" </w:instrText>
      </w:r>
      <w:r>
        <w:fldChar w:fldCharType="separate"/>
      </w:r>
      <w:r>
        <w:rPr>
          <w:rStyle w:val="30"/>
          <w:rFonts w:ascii="Times New Roman" w:hAnsi="Times New Roman" w:eastAsia="方正仿宋简体"/>
          <w:sz w:val="32"/>
          <w:szCs w:val="32"/>
        </w:rPr>
        <w:t>2.1.1地形地貌</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_Toc138888953 \h </w:instrText>
      </w:r>
      <w:r>
        <w:rPr>
          <w:rFonts w:ascii="Times New Roman" w:hAnsi="Times New Roman"/>
          <w:sz w:val="32"/>
          <w:szCs w:val="32"/>
        </w:rPr>
        <w:fldChar w:fldCharType="separate"/>
      </w:r>
      <w:r>
        <w:rPr>
          <w:rFonts w:ascii="Times New Roman" w:hAnsi="Times New Roman"/>
          <w:sz w:val="32"/>
          <w:szCs w:val="32"/>
        </w:rPr>
        <w:t>12</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"_Toc138888954" </w:instrText>
      </w:r>
      <w:r>
        <w:fldChar w:fldCharType="separate"/>
      </w:r>
      <w:r>
        <w:rPr>
          <w:rStyle w:val="30"/>
          <w:rFonts w:ascii="Times New Roman" w:hAnsi="Times New Roman" w:eastAsia="方正仿宋简体"/>
          <w:sz w:val="32"/>
          <w:szCs w:val="32"/>
        </w:rPr>
        <w:t>2.1.2气候气象</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_Toc138888954 \h </w:instrText>
      </w:r>
      <w:r>
        <w:rPr>
          <w:rFonts w:ascii="Times New Roman" w:hAnsi="Times New Roman"/>
          <w:sz w:val="32"/>
          <w:szCs w:val="32"/>
        </w:rPr>
        <w:fldChar w:fldCharType="separate"/>
      </w:r>
      <w:r>
        <w:rPr>
          <w:rFonts w:ascii="Times New Roman" w:hAnsi="Times New Roman"/>
          <w:sz w:val="32"/>
          <w:szCs w:val="32"/>
        </w:rPr>
        <w:t>14</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"_Toc138888955" </w:instrText>
      </w:r>
      <w:r>
        <w:fldChar w:fldCharType="separate"/>
      </w:r>
      <w:r>
        <w:rPr>
          <w:rStyle w:val="30"/>
          <w:rFonts w:ascii="Times New Roman" w:hAnsi="Times New Roman" w:eastAsia="方正仿宋简体"/>
          <w:sz w:val="32"/>
          <w:szCs w:val="32"/>
        </w:rPr>
        <w:t>2.1.3河流水系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_Toc138888955 \h </w:instrText>
      </w:r>
      <w:r>
        <w:rPr>
          <w:rFonts w:ascii="Times New Roman" w:hAnsi="Times New Roman"/>
          <w:sz w:val="32"/>
          <w:szCs w:val="32"/>
        </w:rPr>
        <w:fldChar w:fldCharType="separate"/>
      </w:r>
      <w:r>
        <w:rPr>
          <w:rFonts w:ascii="Times New Roman" w:hAnsi="Times New Roman"/>
          <w:sz w:val="32"/>
          <w:szCs w:val="32"/>
        </w:rPr>
        <w:t>16</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"_Toc138888956" </w:instrText>
      </w:r>
      <w:r>
        <w:fldChar w:fldCharType="separate"/>
      </w:r>
      <w:r>
        <w:rPr>
          <w:rStyle w:val="30"/>
          <w:rFonts w:ascii="Times New Roman" w:hAnsi="Times New Roman" w:eastAsia="方正仿宋简体"/>
          <w:sz w:val="32"/>
          <w:szCs w:val="32"/>
        </w:rPr>
        <w:t>2.1.4植被覆盖</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_Toc138888956 \h </w:instrText>
      </w:r>
      <w:r>
        <w:rPr>
          <w:rFonts w:ascii="Times New Roman" w:hAnsi="Times New Roman"/>
          <w:sz w:val="32"/>
          <w:szCs w:val="32"/>
        </w:rPr>
        <w:fldChar w:fldCharType="separate"/>
      </w:r>
      <w:r>
        <w:rPr>
          <w:rFonts w:ascii="Times New Roman" w:hAnsi="Times New Roman"/>
          <w:sz w:val="32"/>
          <w:szCs w:val="32"/>
        </w:rPr>
        <w:t>18</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"_Toc138888957" </w:instrText>
      </w:r>
      <w:r>
        <w:fldChar w:fldCharType="separate"/>
      </w:r>
      <w:r>
        <w:rPr>
          <w:rStyle w:val="30"/>
          <w:rFonts w:ascii="Times New Roman" w:hAnsi="Times New Roman" w:eastAsia="方正仿宋简体"/>
          <w:sz w:val="32"/>
          <w:szCs w:val="32"/>
        </w:rPr>
        <w:t>2.1.5土壤特征</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_Toc138888957 \h </w:instrText>
      </w:r>
      <w:r>
        <w:rPr>
          <w:rFonts w:ascii="Times New Roman" w:hAnsi="Times New Roman"/>
          <w:sz w:val="32"/>
          <w:szCs w:val="32"/>
        </w:rPr>
        <w:fldChar w:fldCharType="separate"/>
      </w:r>
      <w:r>
        <w:rPr>
          <w:rFonts w:ascii="Times New Roman" w:hAnsi="Times New Roman"/>
          <w:sz w:val="32"/>
          <w:szCs w:val="32"/>
        </w:rPr>
        <w:t>18</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"_Toc138888958" </w:instrText>
      </w:r>
      <w:r>
        <w:fldChar w:fldCharType="separate"/>
      </w:r>
      <w:r>
        <w:rPr>
          <w:rStyle w:val="30"/>
          <w:rFonts w:ascii="Times New Roman" w:hAnsi="Times New Roman" w:eastAsia="方正楷体简体"/>
          <w:sz w:val="32"/>
          <w:szCs w:val="32"/>
        </w:rPr>
        <w:t>2.2社会经济状况</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_Toc138888958 \h </w:instrText>
      </w:r>
      <w:r>
        <w:rPr>
          <w:rFonts w:ascii="Times New Roman" w:hAnsi="Times New Roman"/>
          <w:sz w:val="32"/>
          <w:szCs w:val="32"/>
        </w:rPr>
        <w:fldChar w:fldCharType="separate"/>
      </w:r>
      <w:r>
        <w:rPr>
          <w:rFonts w:ascii="Times New Roman" w:hAnsi="Times New Roman"/>
          <w:sz w:val="32"/>
          <w:szCs w:val="32"/>
        </w:rPr>
        <w:t>19</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"_Toc138888959" </w:instrText>
      </w:r>
      <w:r>
        <w:fldChar w:fldCharType="separate"/>
      </w:r>
      <w:r>
        <w:rPr>
          <w:rStyle w:val="30"/>
          <w:rFonts w:ascii="Times New Roman" w:hAnsi="Times New Roman" w:eastAsia="方正仿宋简体"/>
          <w:sz w:val="32"/>
          <w:szCs w:val="32"/>
        </w:rPr>
        <w:t>2.2.1行政区划</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_Toc138888959 \h </w:instrText>
      </w:r>
      <w:r>
        <w:rPr>
          <w:rFonts w:ascii="Times New Roman" w:hAnsi="Times New Roman"/>
          <w:sz w:val="32"/>
          <w:szCs w:val="32"/>
        </w:rPr>
        <w:fldChar w:fldCharType="separate"/>
      </w:r>
      <w:r>
        <w:rPr>
          <w:rFonts w:ascii="Times New Roman" w:hAnsi="Times New Roman"/>
          <w:sz w:val="32"/>
          <w:szCs w:val="32"/>
        </w:rPr>
        <w:t>19</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"_Toc138888960" </w:instrText>
      </w:r>
      <w:r>
        <w:fldChar w:fldCharType="separate"/>
      </w:r>
      <w:r>
        <w:rPr>
          <w:rStyle w:val="30"/>
          <w:rFonts w:ascii="Times New Roman" w:hAnsi="Times New Roman" w:eastAsia="方正仿宋简体"/>
          <w:sz w:val="32"/>
          <w:szCs w:val="32"/>
        </w:rPr>
        <w:t>2.2.2产业类型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_Toc138888960 \h </w:instrText>
      </w:r>
      <w:r>
        <w:rPr>
          <w:rFonts w:ascii="Times New Roman" w:hAnsi="Times New Roman"/>
          <w:sz w:val="32"/>
          <w:szCs w:val="32"/>
        </w:rPr>
        <w:fldChar w:fldCharType="separate"/>
      </w:r>
      <w:r>
        <w:rPr>
          <w:rFonts w:ascii="Times New Roman" w:hAnsi="Times New Roman"/>
          <w:sz w:val="32"/>
          <w:szCs w:val="32"/>
        </w:rPr>
        <w:t>21</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"_Toc138888961" </w:instrText>
      </w:r>
      <w:r>
        <w:fldChar w:fldCharType="separate"/>
      </w:r>
      <w:r>
        <w:rPr>
          <w:rStyle w:val="30"/>
          <w:rFonts w:ascii="Times New Roman" w:hAnsi="Times New Roman" w:eastAsia="方正仿宋简体"/>
          <w:sz w:val="32"/>
          <w:szCs w:val="32"/>
        </w:rPr>
        <w:t>2.2.3经济概况</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_Toc138888961 \h </w:instrText>
      </w:r>
      <w:r>
        <w:rPr>
          <w:rFonts w:ascii="Times New Roman" w:hAnsi="Times New Roman"/>
          <w:sz w:val="32"/>
          <w:szCs w:val="32"/>
        </w:rPr>
        <w:fldChar w:fldCharType="separate"/>
      </w:r>
      <w:r>
        <w:rPr>
          <w:rFonts w:ascii="Times New Roman" w:hAnsi="Times New Roman"/>
          <w:sz w:val="32"/>
          <w:szCs w:val="32"/>
        </w:rPr>
        <w:t>22</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"_Toc138888962" </w:instrText>
      </w:r>
      <w:r>
        <w:fldChar w:fldCharType="separate"/>
      </w:r>
      <w:r>
        <w:rPr>
          <w:rStyle w:val="30"/>
          <w:rFonts w:ascii="Times New Roman" w:hAnsi="Times New Roman" w:eastAsia="方正仿宋简体"/>
          <w:sz w:val="32"/>
          <w:szCs w:val="32"/>
        </w:rPr>
        <w:t>2.2.4土地利用</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_Toc138888962 \h </w:instrText>
      </w:r>
      <w:r>
        <w:rPr>
          <w:rFonts w:ascii="Times New Roman" w:hAnsi="Times New Roman"/>
          <w:sz w:val="32"/>
          <w:szCs w:val="32"/>
        </w:rPr>
        <w:fldChar w:fldCharType="separate"/>
      </w:r>
      <w:r>
        <w:rPr>
          <w:rFonts w:ascii="Times New Roman" w:hAnsi="Times New Roman"/>
          <w:sz w:val="32"/>
          <w:szCs w:val="32"/>
        </w:rPr>
        <w:t>22</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"_Toc138888963" </w:instrText>
      </w:r>
      <w:r>
        <w:fldChar w:fldCharType="separate"/>
      </w:r>
      <w:r>
        <w:rPr>
          <w:rStyle w:val="30"/>
          <w:rFonts w:ascii="Times New Roman" w:hAnsi="Times New Roman" w:eastAsia="方正仿宋简体"/>
          <w:sz w:val="32"/>
          <w:szCs w:val="32"/>
        </w:rPr>
        <w:t>2.2.5畜禽粪污资源化利用相关产业发展情况</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_Toc138888963 \h </w:instrText>
      </w:r>
      <w:r>
        <w:rPr>
          <w:rFonts w:ascii="Times New Roman" w:hAnsi="Times New Roman"/>
          <w:sz w:val="32"/>
          <w:szCs w:val="32"/>
        </w:rPr>
        <w:fldChar w:fldCharType="separate"/>
      </w:r>
      <w:r>
        <w:rPr>
          <w:rFonts w:ascii="Times New Roman" w:hAnsi="Times New Roman"/>
          <w:sz w:val="32"/>
          <w:szCs w:val="32"/>
        </w:rPr>
        <w:t>24</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"_Toc138888964" </w:instrText>
      </w:r>
      <w:r>
        <w:fldChar w:fldCharType="separate"/>
      </w:r>
      <w:r>
        <w:rPr>
          <w:rStyle w:val="30"/>
          <w:rFonts w:ascii="Times New Roman" w:hAnsi="Times New Roman" w:eastAsia="方正楷体简体"/>
          <w:sz w:val="32"/>
          <w:szCs w:val="32"/>
        </w:rPr>
        <w:t>2.3生态环境概况</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_Toc138888964 \h </w:instrText>
      </w:r>
      <w:r>
        <w:rPr>
          <w:rFonts w:ascii="Times New Roman" w:hAnsi="Times New Roman"/>
          <w:sz w:val="32"/>
          <w:szCs w:val="32"/>
        </w:rPr>
        <w:fldChar w:fldCharType="separate"/>
      </w:r>
      <w:r>
        <w:rPr>
          <w:rFonts w:ascii="Times New Roman" w:hAnsi="Times New Roman"/>
          <w:sz w:val="32"/>
          <w:szCs w:val="32"/>
        </w:rPr>
        <w:t>25</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"_Toc138888965" </w:instrText>
      </w:r>
      <w:r>
        <w:fldChar w:fldCharType="separate"/>
      </w:r>
      <w:r>
        <w:rPr>
          <w:rStyle w:val="30"/>
          <w:rFonts w:ascii="Times New Roman" w:hAnsi="Times New Roman" w:eastAsia="方正仿宋简体"/>
          <w:sz w:val="32"/>
          <w:szCs w:val="32"/>
        </w:rPr>
        <w:t>2.3.1环境功能区及红线区</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_Toc138888965 \h </w:instrText>
      </w:r>
      <w:r>
        <w:rPr>
          <w:rFonts w:ascii="Times New Roman" w:hAnsi="Times New Roman"/>
          <w:sz w:val="32"/>
          <w:szCs w:val="32"/>
        </w:rPr>
        <w:fldChar w:fldCharType="separate"/>
      </w:r>
      <w:r>
        <w:rPr>
          <w:rFonts w:ascii="Times New Roman" w:hAnsi="Times New Roman"/>
          <w:sz w:val="32"/>
          <w:szCs w:val="32"/>
        </w:rPr>
        <w:t>25</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"_Toc138888966" </w:instrText>
      </w:r>
      <w:r>
        <w:fldChar w:fldCharType="separate"/>
      </w:r>
      <w:r>
        <w:rPr>
          <w:rStyle w:val="30"/>
          <w:rFonts w:ascii="Times New Roman" w:hAnsi="Times New Roman" w:eastAsia="方正仿宋简体"/>
          <w:sz w:val="32"/>
          <w:szCs w:val="32"/>
        </w:rPr>
        <w:t>2.3.2大气环境质量</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_Toc138888966 \h </w:instrText>
      </w:r>
      <w:r>
        <w:rPr>
          <w:rFonts w:ascii="Times New Roman" w:hAnsi="Times New Roman"/>
          <w:sz w:val="32"/>
          <w:szCs w:val="32"/>
        </w:rPr>
        <w:fldChar w:fldCharType="separate"/>
      </w:r>
      <w:r>
        <w:rPr>
          <w:rFonts w:ascii="Times New Roman" w:hAnsi="Times New Roman"/>
          <w:sz w:val="32"/>
          <w:szCs w:val="32"/>
        </w:rPr>
        <w:t>27</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"_Toc138888967" </w:instrText>
      </w:r>
      <w:r>
        <w:fldChar w:fldCharType="separate"/>
      </w:r>
      <w:r>
        <w:rPr>
          <w:rStyle w:val="30"/>
          <w:rFonts w:ascii="Times New Roman" w:hAnsi="Times New Roman" w:eastAsia="方正仿宋简体"/>
          <w:sz w:val="32"/>
          <w:szCs w:val="32"/>
        </w:rPr>
        <w:t>2.3.3水环境质量</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_Toc138888967 \h </w:instrText>
      </w:r>
      <w:r>
        <w:rPr>
          <w:rFonts w:ascii="Times New Roman" w:hAnsi="Times New Roman"/>
          <w:sz w:val="32"/>
          <w:szCs w:val="32"/>
        </w:rPr>
        <w:fldChar w:fldCharType="separate"/>
      </w:r>
      <w:r>
        <w:rPr>
          <w:rFonts w:ascii="Times New Roman" w:hAnsi="Times New Roman"/>
          <w:sz w:val="32"/>
          <w:szCs w:val="32"/>
        </w:rPr>
        <w:t>31</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"_Toc138888968" </w:instrText>
      </w:r>
      <w:r>
        <w:fldChar w:fldCharType="separate"/>
      </w:r>
      <w:r>
        <w:rPr>
          <w:rStyle w:val="30"/>
          <w:rFonts w:ascii="Times New Roman" w:hAnsi="Times New Roman" w:eastAsia="方正仿宋简体"/>
          <w:sz w:val="32"/>
          <w:szCs w:val="32"/>
        </w:rPr>
        <w:t>2.3.4声环境质量</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_Toc138888968 \h </w:instrText>
      </w:r>
      <w:r>
        <w:rPr>
          <w:rFonts w:ascii="Times New Roman" w:hAnsi="Times New Roman"/>
          <w:sz w:val="32"/>
          <w:szCs w:val="32"/>
        </w:rPr>
        <w:fldChar w:fldCharType="separate"/>
      </w:r>
      <w:r>
        <w:rPr>
          <w:rFonts w:ascii="Times New Roman" w:hAnsi="Times New Roman"/>
          <w:sz w:val="32"/>
          <w:szCs w:val="32"/>
        </w:rPr>
        <w:t>33</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"_Toc138888969" </w:instrText>
      </w:r>
      <w:r>
        <w:fldChar w:fldCharType="separate"/>
      </w:r>
      <w:r>
        <w:rPr>
          <w:rStyle w:val="30"/>
          <w:rFonts w:ascii="Times New Roman" w:hAnsi="Times New Roman" w:eastAsia="方正仿宋简体"/>
          <w:sz w:val="32"/>
          <w:szCs w:val="32"/>
        </w:rPr>
        <w:t>2.3.5土壤环境质量</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_Toc138888969 \h </w:instrText>
      </w:r>
      <w:r>
        <w:rPr>
          <w:rFonts w:ascii="Times New Roman" w:hAnsi="Times New Roman"/>
          <w:sz w:val="32"/>
          <w:szCs w:val="32"/>
        </w:rPr>
        <w:fldChar w:fldCharType="separate"/>
      </w:r>
      <w:r>
        <w:rPr>
          <w:rFonts w:ascii="Times New Roman" w:hAnsi="Times New Roman"/>
          <w:sz w:val="32"/>
          <w:szCs w:val="32"/>
        </w:rPr>
        <w:t>33</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"_Toc138888970" </w:instrText>
      </w:r>
      <w:r>
        <w:fldChar w:fldCharType="separate"/>
      </w:r>
      <w:r>
        <w:rPr>
          <w:rStyle w:val="30"/>
          <w:rFonts w:ascii="Times New Roman" w:hAnsi="Times New Roman" w:eastAsia="方正楷体简体"/>
          <w:sz w:val="32"/>
          <w:szCs w:val="32"/>
        </w:rPr>
        <w:t>2.4畜禽养殖污染防治现状</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_Toc138888970 \h </w:instrText>
      </w:r>
      <w:r>
        <w:rPr>
          <w:rFonts w:ascii="Times New Roman" w:hAnsi="Times New Roman"/>
          <w:sz w:val="32"/>
          <w:szCs w:val="32"/>
        </w:rPr>
        <w:fldChar w:fldCharType="separate"/>
      </w:r>
      <w:r>
        <w:rPr>
          <w:rFonts w:ascii="Times New Roman" w:hAnsi="Times New Roman"/>
          <w:sz w:val="32"/>
          <w:szCs w:val="32"/>
        </w:rPr>
        <w:t>34</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"_Toc138888971" </w:instrText>
      </w:r>
      <w:r>
        <w:fldChar w:fldCharType="separate"/>
      </w:r>
      <w:r>
        <w:rPr>
          <w:rStyle w:val="30"/>
          <w:rFonts w:ascii="Times New Roman" w:hAnsi="Times New Roman" w:eastAsia="方正仿宋简体"/>
          <w:sz w:val="32"/>
          <w:szCs w:val="32"/>
        </w:rPr>
        <w:t>2.4.1畜禽养殖现状</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_Toc138888971 \h </w:instrText>
      </w:r>
      <w:r>
        <w:rPr>
          <w:rFonts w:ascii="Times New Roman" w:hAnsi="Times New Roman"/>
          <w:sz w:val="32"/>
          <w:szCs w:val="32"/>
        </w:rPr>
        <w:fldChar w:fldCharType="separate"/>
      </w:r>
      <w:r>
        <w:rPr>
          <w:rFonts w:ascii="Times New Roman" w:hAnsi="Times New Roman"/>
          <w:sz w:val="32"/>
          <w:szCs w:val="32"/>
        </w:rPr>
        <w:t>34</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"_Toc138888972" </w:instrText>
      </w:r>
      <w:r>
        <w:fldChar w:fldCharType="separate"/>
      </w:r>
      <w:r>
        <w:rPr>
          <w:rStyle w:val="30"/>
          <w:rFonts w:ascii="Times New Roman" w:hAnsi="Times New Roman" w:eastAsia="方正仿宋简体"/>
          <w:sz w:val="32"/>
          <w:szCs w:val="32"/>
        </w:rPr>
        <w:t>2.4.2污染防治现状</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_Toc138888972 \h </w:instrText>
      </w:r>
      <w:r>
        <w:rPr>
          <w:rFonts w:ascii="Times New Roman" w:hAnsi="Times New Roman"/>
          <w:sz w:val="32"/>
          <w:szCs w:val="32"/>
        </w:rPr>
        <w:fldChar w:fldCharType="separate"/>
      </w:r>
      <w:r>
        <w:rPr>
          <w:rFonts w:ascii="Times New Roman" w:hAnsi="Times New Roman"/>
          <w:sz w:val="32"/>
          <w:szCs w:val="32"/>
        </w:rPr>
        <w:t>38</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"_Toc138888973" </w:instrText>
      </w:r>
      <w:r>
        <w:fldChar w:fldCharType="separate"/>
      </w:r>
      <w:r>
        <w:rPr>
          <w:rStyle w:val="30"/>
          <w:rFonts w:ascii="Times New Roman" w:hAnsi="Times New Roman" w:eastAsia="方正仿宋简体"/>
          <w:sz w:val="32"/>
          <w:szCs w:val="32"/>
        </w:rPr>
        <w:t>2.4.3种养结合现状</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_Toc138888973 \h </w:instrText>
      </w:r>
      <w:r>
        <w:rPr>
          <w:rFonts w:ascii="Times New Roman" w:hAnsi="Times New Roman"/>
          <w:sz w:val="32"/>
          <w:szCs w:val="32"/>
        </w:rPr>
        <w:fldChar w:fldCharType="separate"/>
      </w:r>
      <w:r>
        <w:rPr>
          <w:rFonts w:ascii="Times New Roman" w:hAnsi="Times New Roman"/>
          <w:sz w:val="32"/>
          <w:szCs w:val="32"/>
        </w:rPr>
        <w:t>57</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"_Toc138888974" </w:instrText>
      </w:r>
      <w:r>
        <w:fldChar w:fldCharType="separate"/>
      </w:r>
      <w:r>
        <w:rPr>
          <w:rStyle w:val="30"/>
          <w:rFonts w:ascii="Times New Roman" w:hAnsi="Times New Roman" w:eastAsia="方正仿宋简体"/>
          <w:sz w:val="32"/>
          <w:szCs w:val="32"/>
        </w:rPr>
        <w:t>2.4.4存在的问题</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_Toc138888974 \h </w:instrText>
      </w:r>
      <w:r>
        <w:rPr>
          <w:rFonts w:ascii="Times New Roman" w:hAnsi="Times New Roman"/>
          <w:sz w:val="32"/>
          <w:szCs w:val="32"/>
        </w:rPr>
        <w:fldChar w:fldCharType="separate"/>
      </w:r>
      <w:r>
        <w:rPr>
          <w:rFonts w:ascii="Times New Roman" w:hAnsi="Times New Roman"/>
          <w:sz w:val="32"/>
          <w:szCs w:val="32"/>
        </w:rPr>
        <w:t>59</w:t>
      </w:r>
      <w:r>
        <w:rPr>
          <w:rFonts w:ascii="Times New Roman" w:hAnsi="Times New Roman"/>
          <w:sz w:val="32"/>
          <w:szCs w:val="32"/>
        </w:rPr>
        <w:fldChar w:fldCharType="end"/>
      </w:r>
      <w:r>
        <w:rPr>
          <w:rFonts w:ascii="Times New Roman" w:hAnsi="Times New Roman"/>
          <w:sz w:val="32"/>
          <w:szCs w:val="32"/>
        </w:rPr>
        <w:fldChar w:fldCharType="end"/>
      </w:r>
    </w:p>
    <w:p>
      <w:pPr>
        <w:pStyle w:val="19"/>
        <w:rPr>
          <w:rFonts w:ascii="Times New Roman" w:hAnsi="Times New Roman" w:eastAsiaTheme="minorEastAsia"/>
          <w:sz w:val="32"/>
          <w:szCs w:val="32"/>
        </w:rPr>
      </w:pPr>
      <w:r>
        <w:fldChar w:fldCharType="begin"/>
      </w:r>
      <w:r>
        <w:instrText xml:space="preserve"> HYPERLINK \l "_Toc138888975" </w:instrText>
      </w:r>
      <w:r>
        <w:fldChar w:fldCharType="separate"/>
      </w:r>
      <w:r>
        <w:rPr>
          <w:rStyle w:val="30"/>
          <w:rFonts w:ascii="Times New Roman" w:hAnsi="Times New Roman" w:eastAsia="方正黑体简体"/>
          <w:sz w:val="32"/>
          <w:szCs w:val="32"/>
        </w:rPr>
        <w:t>3规划目标</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_Toc138888975 \h </w:instrText>
      </w:r>
      <w:r>
        <w:rPr>
          <w:rFonts w:ascii="Times New Roman" w:hAnsi="Times New Roman"/>
          <w:sz w:val="32"/>
          <w:szCs w:val="32"/>
        </w:rPr>
        <w:fldChar w:fldCharType="separate"/>
      </w:r>
      <w:r>
        <w:rPr>
          <w:rFonts w:ascii="Times New Roman" w:hAnsi="Times New Roman"/>
          <w:sz w:val="32"/>
          <w:szCs w:val="32"/>
        </w:rPr>
        <w:t>62</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"_Toc138888976" </w:instrText>
      </w:r>
      <w:r>
        <w:fldChar w:fldCharType="separate"/>
      </w:r>
      <w:r>
        <w:rPr>
          <w:rStyle w:val="30"/>
          <w:rFonts w:ascii="Times New Roman" w:hAnsi="Times New Roman" w:eastAsia="方正楷体简体"/>
          <w:sz w:val="32"/>
          <w:szCs w:val="32"/>
        </w:rPr>
        <w:t>3.1规划目标指标</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_Toc138888976 \h </w:instrText>
      </w:r>
      <w:r>
        <w:rPr>
          <w:rFonts w:ascii="Times New Roman" w:hAnsi="Times New Roman"/>
          <w:sz w:val="32"/>
          <w:szCs w:val="32"/>
        </w:rPr>
        <w:fldChar w:fldCharType="separate"/>
      </w:r>
      <w:r>
        <w:rPr>
          <w:rFonts w:ascii="Times New Roman" w:hAnsi="Times New Roman"/>
          <w:sz w:val="32"/>
          <w:szCs w:val="32"/>
        </w:rPr>
        <w:t>62</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"_Toc138888977" </w:instrText>
      </w:r>
      <w:r>
        <w:fldChar w:fldCharType="separate"/>
      </w:r>
      <w:r>
        <w:rPr>
          <w:rStyle w:val="30"/>
          <w:rFonts w:ascii="Times New Roman" w:hAnsi="Times New Roman" w:eastAsia="方正楷体简体"/>
          <w:sz w:val="32"/>
          <w:szCs w:val="32"/>
        </w:rPr>
        <w:t>3.2畜禽养殖环境承载力分析</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_Toc138888977 \h </w:instrText>
      </w:r>
      <w:r>
        <w:rPr>
          <w:rFonts w:ascii="Times New Roman" w:hAnsi="Times New Roman"/>
          <w:sz w:val="32"/>
          <w:szCs w:val="32"/>
        </w:rPr>
        <w:fldChar w:fldCharType="separate"/>
      </w:r>
      <w:r>
        <w:rPr>
          <w:rFonts w:ascii="Times New Roman" w:hAnsi="Times New Roman"/>
          <w:sz w:val="32"/>
          <w:szCs w:val="32"/>
        </w:rPr>
        <w:t>63</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"_Toc138888978" </w:instrText>
      </w:r>
      <w:r>
        <w:fldChar w:fldCharType="separate"/>
      </w:r>
      <w:r>
        <w:rPr>
          <w:rStyle w:val="30"/>
          <w:rFonts w:ascii="Times New Roman" w:hAnsi="Times New Roman" w:eastAsia="方正仿宋简体"/>
          <w:sz w:val="32"/>
          <w:szCs w:val="32"/>
        </w:rPr>
        <w:t>3.2.1参数确定</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_Toc138888978 \h </w:instrText>
      </w:r>
      <w:r>
        <w:rPr>
          <w:rFonts w:ascii="Times New Roman" w:hAnsi="Times New Roman"/>
          <w:sz w:val="32"/>
          <w:szCs w:val="32"/>
        </w:rPr>
        <w:fldChar w:fldCharType="separate"/>
      </w:r>
      <w:r>
        <w:rPr>
          <w:rFonts w:ascii="Times New Roman" w:hAnsi="Times New Roman"/>
          <w:sz w:val="32"/>
          <w:szCs w:val="32"/>
        </w:rPr>
        <w:t>63</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"_Toc138888979" </w:instrText>
      </w:r>
      <w:r>
        <w:fldChar w:fldCharType="separate"/>
      </w:r>
      <w:r>
        <w:rPr>
          <w:rStyle w:val="30"/>
          <w:rFonts w:ascii="Times New Roman" w:hAnsi="Times New Roman" w:eastAsia="方正仿宋简体"/>
          <w:sz w:val="32"/>
          <w:szCs w:val="32"/>
        </w:rPr>
        <w:t>3.2.2现有猪当量计算</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_Toc138888979 \h </w:instrText>
      </w:r>
      <w:r>
        <w:rPr>
          <w:rFonts w:ascii="Times New Roman" w:hAnsi="Times New Roman"/>
          <w:sz w:val="32"/>
          <w:szCs w:val="32"/>
        </w:rPr>
        <w:fldChar w:fldCharType="separate"/>
      </w:r>
      <w:r>
        <w:rPr>
          <w:rFonts w:ascii="Times New Roman" w:hAnsi="Times New Roman"/>
          <w:sz w:val="32"/>
          <w:szCs w:val="32"/>
        </w:rPr>
        <w:t>65</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"_Toc138888980" </w:instrText>
      </w:r>
      <w:r>
        <w:fldChar w:fldCharType="separate"/>
      </w:r>
      <w:r>
        <w:rPr>
          <w:rStyle w:val="30"/>
          <w:rFonts w:ascii="Times New Roman" w:hAnsi="Times New Roman" w:eastAsia="方正仿宋简体"/>
          <w:sz w:val="32"/>
          <w:szCs w:val="32"/>
        </w:rPr>
        <w:t>3.2.3畜禽粪便土地承载力</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_Toc138888980 \h </w:instrText>
      </w:r>
      <w:r>
        <w:rPr>
          <w:rFonts w:ascii="Times New Roman" w:hAnsi="Times New Roman"/>
          <w:sz w:val="32"/>
          <w:szCs w:val="32"/>
        </w:rPr>
        <w:fldChar w:fldCharType="separate"/>
      </w:r>
      <w:r>
        <w:rPr>
          <w:rFonts w:ascii="Times New Roman" w:hAnsi="Times New Roman"/>
          <w:sz w:val="32"/>
          <w:szCs w:val="32"/>
        </w:rPr>
        <w:t>66</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"_Toc138888981" </w:instrText>
      </w:r>
      <w:r>
        <w:fldChar w:fldCharType="separate"/>
      </w:r>
      <w:r>
        <w:rPr>
          <w:rStyle w:val="30"/>
          <w:rFonts w:ascii="Times New Roman" w:hAnsi="Times New Roman" w:eastAsia="方正仿宋简体"/>
          <w:sz w:val="32"/>
          <w:szCs w:val="32"/>
        </w:rPr>
        <w:t>3.2.4水资源承载力测算</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_Toc138888981 \h </w:instrText>
      </w:r>
      <w:r>
        <w:rPr>
          <w:rFonts w:ascii="Times New Roman" w:hAnsi="Times New Roman"/>
          <w:sz w:val="32"/>
          <w:szCs w:val="32"/>
        </w:rPr>
        <w:fldChar w:fldCharType="separate"/>
      </w:r>
      <w:r>
        <w:rPr>
          <w:rFonts w:ascii="Times New Roman" w:hAnsi="Times New Roman"/>
          <w:sz w:val="32"/>
          <w:szCs w:val="32"/>
        </w:rPr>
        <w:t>68</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"_Toc138888982" </w:instrText>
      </w:r>
      <w:r>
        <w:fldChar w:fldCharType="separate"/>
      </w:r>
      <w:r>
        <w:rPr>
          <w:rStyle w:val="30"/>
          <w:rFonts w:ascii="Times New Roman" w:hAnsi="Times New Roman" w:eastAsia="方正仿宋简体"/>
          <w:sz w:val="32"/>
          <w:szCs w:val="32"/>
        </w:rPr>
        <w:t>3.2.5水环境承载力测算</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_Toc138888982 \h </w:instrText>
      </w:r>
      <w:r>
        <w:rPr>
          <w:rFonts w:ascii="Times New Roman" w:hAnsi="Times New Roman"/>
          <w:sz w:val="32"/>
          <w:szCs w:val="32"/>
        </w:rPr>
        <w:fldChar w:fldCharType="separate"/>
      </w:r>
      <w:r>
        <w:rPr>
          <w:rFonts w:ascii="Times New Roman" w:hAnsi="Times New Roman"/>
          <w:sz w:val="32"/>
          <w:szCs w:val="32"/>
        </w:rPr>
        <w:t>68</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"_Toc138888983" </w:instrText>
      </w:r>
      <w:r>
        <w:fldChar w:fldCharType="separate"/>
      </w:r>
      <w:r>
        <w:rPr>
          <w:rStyle w:val="30"/>
          <w:rFonts w:ascii="Times New Roman" w:hAnsi="Times New Roman" w:eastAsia="方正仿宋简体"/>
          <w:sz w:val="32"/>
          <w:szCs w:val="32"/>
        </w:rPr>
        <w:t>3.2.6区域养殖总量控制</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_Toc138888983 \h </w:instrText>
      </w:r>
      <w:r>
        <w:rPr>
          <w:rFonts w:ascii="Times New Roman" w:hAnsi="Times New Roman"/>
          <w:sz w:val="32"/>
          <w:szCs w:val="32"/>
        </w:rPr>
        <w:fldChar w:fldCharType="separate"/>
      </w:r>
      <w:r>
        <w:rPr>
          <w:rFonts w:ascii="Times New Roman" w:hAnsi="Times New Roman"/>
          <w:sz w:val="32"/>
          <w:szCs w:val="32"/>
        </w:rPr>
        <w:t>71</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"_Toc138888984" </w:instrText>
      </w:r>
      <w:r>
        <w:fldChar w:fldCharType="separate"/>
      </w:r>
      <w:r>
        <w:rPr>
          <w:rStyle w:val="30"/>
          <w:rFonts w:ascii="Times New Roman" w:hAnsi="Times New Roman" w:eastAsia="方正仿宋简体"/>
          <w:sz w:val="32"/>
          <w:szCs w:val="32"/>
        </w:rPr>
        <w:t>3.2.7“十四五”末土地承载力预测分析</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_Toc138888984 \h </w:instrText>
      </w:r>
      <w:r>
        <w:rPr>
          <w:rFonts w:ascii="Times New Roman" w:hAnsi="Times New Roman"/>
          <w:sz w:val="32"/>
          <w:szCs w:val="32"/>
        </w:rPr>
        <w:fldChar w:fldCharType="separate"/>
      </w:r>
      <w:r>
        <w:rPr>
          <w:rFonts w:ascii="Times New Roman" w:hAnsi="Times New Roman"/>
          <w:sz w:val="32"/>
          <w:szCs w:val="32"/>
        </w:rPr>
        <w:t>72</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"_Toc138888985" </w:instrText>
      </w:r>
      <w:r>
        <w:fldChar w:fldCharType="separate"/>
      </w:r>
      <w:r>
        <w:rPr>
          <w:rStyle w:val="30"/>
          <w:rFonts w:ascii="Times New Roman" w:hAnsi="Times New Roman" w:eastAsia="方正楷体简体"/>
          <w:sz w:val="32"/>
          <w:szCs w:val="32"/>
        </w:rPr>
        <w:t>3.3目标可实现性分析</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_Toc138888985 \h </w:instrText>
      </w:r>
      <w:r>
        <w:rPr>
          <w:rFonts w:ascii="Times New Roman" w:hAnsi="Times New Roman"/>
          <w:sz w:val="32"/>
          <w:szCs w:val="32"/>
        </w:rPr>
        <w:fldChar w:fldCharType="separate"/>
      </w:r>
      <w:r>
        <w:rPr>
          <w:rFonts w:ascii="Times New Roman" w:hAnsi="Times New Roman"/>
          <w:sz w:val="32"/>
          <w:szCs w:val="32"/>
        </w:rPr>
        <w:t>75</w:t>
      </w:r>
      <w:r>
        <w:rPr>
          <w:rFonts w:ascii="Times New Roman" w:hAnsi="Times New Roman"/>
          <w:sz w:val="32"/>
          <w:szCs w:val="32"/>
        </w:rPr>
        <w:fldChar w:fldCharType="end"/>
      </w:r>
      <w:r>
        <w:rPr>
          <w:rFonts w:ascii="Times New Roman" w:hAnsi="Times New Roman"/>
          <w:sz w:val="32"/>
          <w:szCs w:val="32"/>
        </w:rPr>
        <w:fldChar w:fldCharType="end"/>
      </w:r>
    </w:p>
    <w:p>
      <w:pPr>
        <w:pStyle w:val="19"/>
        <w:rPr>
          <w:rFonts w:ascii="Times New Roman" w:hAnsi="Times New Roman" w:eastAsiaTheme="minorEastAsia"/>
          <w:sz w:val="32"/>
          <w:szCs w:val="32"/>
        </w:rPr>
      </w:pPr>
      <w:r>
        <w:fldChar w:fldCharType="begin"/>
      </w:r>
      <w:r>
        <w:instrText xml:space="preserve"> HYPERLINK \l "_Toc138888986" </w:instrText>
      </w:r>
      <w:r>
        <w:fldChar w:fldCharType="separate"/>
      </w:r>
      <w:r>
        <w:rPr>
          <w:rStyle w:val="30"/>
          <w:rFonts w:ascii="Times New Roman" w:hAnsi="Times New Roman" w:eastAsia="方正黑体简体"/>
          <w:sz w:val="32"/>
          <w:szCs w:val="32"/>
        </w:rPr>
        <w:t>4主要任务</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_Toc138888986 \h </w:instrText>
      </w:r>
      <w:r>
        <w:rPr>
          <w:rFonts w:ascii="Times New Roman" w:hAnsi="Times New Roman"/>
          <w:sz w:val="32"/>
          <w:szCs w:val="32"/>
        </w:rPr>
        <w:fldChar w:fldCharType="separate"/>
      </w:r>
      <w:r>
        <w:rPr>
          <w:rFonts w:ascii="Times New Roman" w:hAnsi="Times New Roman"/>
          <w:sz w:val="32"/>
          <w:szCs w:val="32"/>
        </w:rPr>
        <w:t>77</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"_Toc138888987" </w:instrText>
      </w:r>
      <w:r>
        <w:fldChar w:fldCharType="separate"/>
      </w:r>
      <w:r>
        <w:rPr>
          <w:rStyle w:val="30"/>
          <w:rFonts w:ascii="Times New Roman" w:hAnsi="Times New Roman" w:eastAsia="方正楷体简体"/>
          <w:sz w:val="32"/>
          <w:szCs w:val="32"/>
        </w:rPr>
        <w:t>4.1畜禽养殖污染治理总体要求</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_Toc138888987 \h </w:instrText>
      </w:r>
      <w:r>
        <w:rPr>
          <w:rFonts w:ascii="Times New Roman" w:hAnsi="Times New Roman"/>
          <w:sz w:val="32"/>
          <w:szCs w:val="32"/>
        </w:rPr>
        <w:fldChar w:fldCharType="separate"/>
      </w:r>
      <w:r>
        <w:rPr>
          <w:rFonts w:ascii="Times New Roman" w:hAnsi="Times New Roman"/>
          <w:sz w:val="32"/>
          <w:szCs w:val="32"/>
        </w:rPr>
        <w:t>77</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"_Toc138888988" </w:instrText>
      </w:r>
      <w:r>
        <w:fldChar w:fldCharType="separate"/>
      </w:r>
      <w:r>
        <w:rPr>
          <w:rStyle w:val="30"/>
          <w:rFonts w:ascii="Times New Roman" w:hAnsi="Times New Roman" w:eastAsia="方正楷体简体"/>
          <w:sz w:val="32"/>
          <w:szCs w:val="32"/>
        </w:rPr>
        <w:t>4.2提升畜禽粪污资源化利用水平</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_Toc138888988 \h </w:instrText>
      </w:r>
      <w:r>
        <w:rPr>
          <w:rFonts w:ascii="Times New Roman" w:hAnsi="Times New Roman"/>
          <w:sz w:val="32"/>
          <w:szCs w:val="32"/>
        </w:rPr>
        <w:fldChar w:fldCharType="separate"/>
      </w:r>
      <w:r>
        <w:rPr>
          <w:rFonts w:ascii="Times New Roman" w:hAnsi="Times New Roman"/>
          <w:sz w:val="32"/>
          <w:szCs w:val="32"/>
        </w:rPr>
        <w:t>79</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"_Toc138888989" </w:instrText>
      </w:r>
      <w:r>
        <w:fldChar w:fldCharType="separate"/>
      </w:r>
      <w:r>
        <w:rPr>
          <w:rStyle w:val="30"/>
          <w:rFonts w:ascii="Times New Roman" w:hAnsi="Times New Roman" w:eastAsia="方正仿宋简体"/>
          <w:sz w:val="32"/>
          <w:szCs w:val="32"/>
        </w:rPr>
        <w:t>4.2.1持续推进畜禽粪污生态循环利用</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_Toc138888989 \h </w:instrText>
      </w:r>
      <w:r>
        <w:rPr>
          <w:rFonts w:ascii="Times New Roman" w:hAnsi="Times New Roman"/>
          <w:sz w:val="32"/>
          <w:szCs w:val="32"/>
        </w:rPr>
        <w:fldChar w:fldCharType="separate"/>
      </w:r>
      <w:r>
        <w:rPr>
          <w:rFonts w:ascii="Times New Roman" w:hAnsi="Times New Roman"/>
          <w:sz w:val="32"/>
          <w:szCs w:val="32"/>
        </w:rPr>
        <w:t>79</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"_Toc138888990" </w:instrText>
      </w:r>
      <w:r>
        <w:fldChar w:fldCharType="separate"/>
      </w:r>
      <w:r>
        <w:rPr>
          <w:rStyle w:val="30"/>
          <w:rFonts w:ascii="Times New Roman" w:hAnsi="Times New Roman" w:eastAsia="方正仿宋简体"/>
          <w:sz w:val="32"/>
          <w:szCs w:val="32"/>
        </w:rPr>
        <w:t>4.2.2优化养殖粪污处置方式</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_Toc138888990 \h </w:instrText>
      </w:r>
      <w:r>
        <w:rPr>
          <w:rFonts w:ascii="Times New Roman" w:hAnsi="Times New Roman"/>
          <w:sz w:val="32"/>
          <w:szCs w:val="32"/>
        </w:rPr>
        <w:fldChar w:fldCharType="separate"/>
      </w:r>
      <w:r>
        <w:rPr>
          <w:rFonts w:ascii="Times New Roman" w:hAnsi="Times New Roman"/>
          <w:sz w:val="32"/>
          <w:szCs w:val="32"/>
        </w:rPr>
        <w:t>79</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"_Toc138888991" </w:instrText>
      </w:r>
      <w:r>
        <w:fldChar w:fldCharType="separate"/>
      </w:r>
      <w:r>
        <w:rPr>
          <w:rStyle w:val="30"/>
          <w:rFonts w:ascii="Times New Roman" w:hAnsi="Times New Roman" w:eastAsia="方正仿宋简体"/>
          <w:sz w:val="32"/>
          <w:szCs w:val="32"/>
        </w:rPr>
        <w:t>4.2.3建立粪污集中收集管理体系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_Toc138888991 \h </w:instrText>
      </w:r>
      <w:r>
        <w:rPr>
          <w:rFonts w:ascii="Times New Roman" w:hAnsi="Times New Roman"/>
          <w:sz w:val="32"/>
          <w:szCs w:val="32"/>
        </w:rPr>
        <w:fldChar w:fldCharType="separate"/>
      </w:r>
      <w:r>
        <w:rPr>
          <w:rFonts w:ascii="Times New Roman" w:hAnsi="Times New Roman"/>
          <w:sz w:val="32"/>
          <w:szCs w:val="32"/>
        </w:rPr>
        <w:t>80</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"_Toc138888992" </w:instrText>
      </w:r>
      <w:r>
        <w:fldChar w:fldCharType="separate"/>
      </w:r>
      <w:r>
        <w:rPr>
          <w:rStyle w:val="30"/>
          <w:rFonts w:ascii="Times New Roman" w:hAnsi="Times New Roman" w:eastAsia="方正仿宋简体"/>
          <w:sz w:val="32"/>
          <w:szCs w:val="32"/>
        </w:rPr>
        <w:t>4.2.4提升资源粪污资源化利用水平</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_Toc138888992 \h </w:instrText>
      </w:r>
      <w:r>
        <w:rPr>
          <w:rFonts w:ascii="Times New Roman" w:hAnsi="Times New Roman"/>
          <w:sz w:val="32"/>
          <w:szCs w:val="32"/>
        </w:rPr>
        <w:fldChar w:fldCharType="separate"/>
      </w:r>
      <w:r>
        <w:rPr>
          <w:rFonts w:ascii="Times New Roman" w:hAnsi="Times New Roman"/>
          <w:sz w:val="32"/>
          <w:szCs w:val="32"/>
        </w:rPr>
        <w:t>80</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"_Toc138888993" </w:instrText>
      </w:r>
      <w:r>
        <w:fldChar w:fldCharType="separate"/>
      </w:r>
      <w:r>
        <w:rPr>
          <w:rStyle w:val="30"/>
          <w:rFonts w:ascii="Times New Roman" w:hAnsi="Times New Roman" w:eastAsia="方正楷体简体"/>
          <w:sz w:val="32"/>
          <w:szCs w:val="32"/>
        </w:rPr>
        <w:t>4.3完善粪污处理和利用设施</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_Toc138888993 \h </w:instrText>
      </w:r>
      <w:r>
        <w:rPr>
          <w:rFonts w:ascii="Times New Roman" w:hAnsi="Times New Roman"/>
          <w:sz w:val="32"/>
          <w:szCs w:val="32"/>
        </w:rPr>
        <w:fldChar w:fldCharType="separate"/>
      </w:r>
      <w:r>
        <w:rPr>
          <w:rFonts w:ascii="Times New Roman" w:hAnsi="Times New Roman"/>
          <w:sz w:val="32"/>
          <w:szCs w:val="32"/>
        </w:rPr>
        <w:t>81</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"_Toc138888994" </w:instrText>
      </w:r>
      <w:r>
        <w:fldChar w:fldCharType="separate"/>
      </w:r>
      <w:r>
        <w:rPr>
          <w:rStyle w:val="30"/>
          <w:rFonts w:ascii="Times New Roman" w:hAnsi="Times New Roman" w:eastAsia="方正仿宋简体"/>
          <w:sz w:val="32"/>
          <w:szCs w:val="32"/>
        </w:rPr>
        <w:t>4.3.1源头减量设施建设</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_Toc138888994 \h </w:instrText>
      </w:r>
      <w:r>
        <w:rPr>
          <w:rFonts w:ascii="Times New Roman" w:hAnsi="Times New Roman"/>
          <w:sz w:val="32"/>
          <w:szCs w:val="32"/>
        </w:rPr>
        <w:fldChar w:fldCharType="separate"/>
      </w:r>
      <w:r>
        <w:rPr>
          <w:rFonts w:ascii="Times New Roman" w:hAnsi="Times New Roman"/>
          <w:sz w:val="32"/>
          <w:szCs w:val="32"/>
        </w:rPr>
        <w:t>81</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"_Toc138888995" </w:instrText>
      </w:r>
      <w:r>
        <w:fldChar w:fldCharType="separate"/>
      </w:r>
      <w:r>
        <w:rPr>
          <w:rStyle w:val="30"/>
          <w:rFonts w:ascii="Times New Roman" w:hAnsi="Times New Roman" w:eastAsia="方正仿宋简体"/>
          <w:sz w:val="32"/>
          <w:szCs w:val="32"/>
        </w:rPr>
        <w:t>4.3.2粪污处理利用设施建设</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_Toc138888995 \h </w:instrText>
      </w:r>
      <w:r>
        <w:rPr>
          <w:rFonts w:ascii="Times New Roman" w:hAnsi="Times New Roman"/>
          <w:sz w:val="32"/>
          <w:szCs w:val="32"/>
        </w:rPr>
        <w:fldChar w:fldCharType="separate"/>
      </w:r>
      <w:r>
        <w:rPr>
          <w:rFonts w:ascii="Times New Roman" w:hAnsi="Times New Roman"/>
          <w:sz w:val="32"/>
          <w:szCs w:val="32"/>
        </w:rPr>
        <w:t>82</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"_Toc138888996" </w:instrText>
      </w:r>
      <w:r>
        <w:fldChar w:fldCharType="separate"/>
      </w:r>
      <w:r>
        <w:rPr>
          <w:rStyle w:val="30"/>
          <w:rFonts w:ascii="Times New Roman" w:hAnsi="Times New Roman" w:eastAsia="方正仿宋简体"/>
          <w:sz w:val="32"/>
          <w:szCs w:val="32"/>
        </w:rPr>
        <w:t>4.3.3田间配套设施建设</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_Toc138888996 \h </w:instrText>
      </w:r>
      <w:r>
        <w:rPr>
          <w:rFonts w:ascii="Times New Roman" w:hAnsi="Times New Roman"/>
          <w:sz w:val="32"/>
          <w:szCs w:val="32"/>
        </w:rPr>
        <w:fldChar w:fldCharType="separate"/>
      </w:r>
      <w:r>
        <w:rPr>
          <w:rFonts w:ascii="Times New Roman" w:hAnsi="Times New Roman"/>
          <w:sz w:val="32"/>
          <w:szCs w:val="32"/>
        </w:rPr>
        <w:t>83</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"_Toc138888997" </w:instrText>
      </w:r>
      <w:r>
        <w:fldChar w:fldCharType="separate"/>
      </w:r>
      <w:r>
        <w:rPr>
          <w:rStyle w:val="30"/>
          <w:rFonts w:ascii="Times New Roman" w:hAnsi="Times New Roman" w:eastAsia="方正楷体简体"/>
          <w:sz w:val="32"/>
          <w:szCs w:val="32"/>
        </w:rPr>
        <w:t>4.4建立健全台账管理制度</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_Toc138888997 \h </w:instrText>
      </w:r>
      <w:r>
        <w:rPr>
          <w:rFonts w:ascii="Times New Roman" w:hAnsi="Times New Roman"/>
          <w:sz w:val="32"/>
          <w:szCs w:val="32"/>
        </w:rPr>
        <w:fldChar w:fldCharType="separate"/>
      </w:r>
      <w:r>
        <w:rPr>
          <w:rFonts w:ascii="Times New Roman" w:hAnsi="Times New Roman"/>
          <w:sz w:val="32"/>
          <w:szCs w:val="32"/>
        </w:rPr>
        <w:t>83</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"_Toc138888998" </w:instrText>
      </w:r>
      <w:r>
        <w:fldChar w:fldCharType="separate"/>
      </w:r>
      <w:r>
        <w:rPr>
          <w:rStyle w:val="30"/>
          <w:rFonts w:ascii="Times New Roman" w:hAnsi="Times New Roman" w:eastAsia="方正楷体简体"/>
          <w:sz w:val="32"/>
          <w:szCs w:val="32"/>
        </w:rPr>
        <w:t>4.5强化环境监管</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_Toc138888998 \h </w:instrText>
      </w:r>
      <w:r>
        <w:rPr>
          <w:rFonts w:ascii="Times New Roman" w:hAnsi="Times New Roman"/>
          <w:sz w:val="32"/>
          <w:szCs w:val="32"/>
        </w:rPr>
        <w:fldChar w:fldCharType="separate"/>
      </w:r>
      <w:r>
        <w:rPr>
          <w:rFonts w:ascii="Times New Roman" w:hAnsi="Times New Roman"/>
          <w:sz w:val="32"/>
          <w:szCs w:val="32"/>
        </w:rPr>
        <w:t>84</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"_Toc138888999" </w:instrText>
      </w:r>
      <w:r>
        <w:fldChar w:fldCharType="separate"/>
      </w:r>
      <w:r>
        <w:rPr>
          <w:rStyle w:val="30"/>
          <w:rFonts w:ascii="Times New Roman" w:hAnsi="Times New Roman" w:eastAsia="方正仿宋简体"/>
          <w:sz w:val="32"/>
          <w:szCs w:val="32"/>
        </w:rPr>
        <w:t>4.5.1严格畜禽养殖审批制度</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_Toc138888999 \h </w:instrText>
      </w:r>
      <w:r>
        <w:rPr>
          <w:rFonts w:ascii="Times New Roman" w:hAnsi="Times New Roman"/>
          <w:sz w:val="32"/>
          <w:szCs w:val="32"/>
        </w:rPr>
        <w:fldChar w:fldCharType="separate"/>
      </w:r>
      <w:r>
        <w:rPr>
          <w:rFonts w:ascii="Times New Roman" w:hAnsi="Times New Roman"/>
          <w:sz w:val="32"/>
          <w:szCs w:val="32"/>
        </w:rPr>
        <w:t>84</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"_Toc138889000" </w:instrText>
      </w:r>
      <w:r>
        <w:fldChar w:fldCharType="separate"/>
      </w:r>
      <w:r>
        <w:rPr>
          <w:rStyle w:val="30"/>
          <w:rFonts w:ascii="Times New Roman" w:hAnsi="Times New Roman" w:eastAsia="方正仿宋简体"/>
          <w:sz w:val="32"/>
          <w:szCs w:val="32"/>
        </w:rPr>
        <w:t>4.5.2强化日常监管</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_Toc138889000 \h </w:instrText>
      </w:r>
      <w:r>
        <w:rPr>
          <w:rFonts w:ascii="Times New Roman" w:hAnsi="Times New Roman"/>
          <w:sz w:val="32"/>
          <w:szCs w:val="32"/>
        </w:rPr>
        <w:fldChar w:fldCharType="separate"/>
      </w:r>
      <w:r>
        <w:rPr>
          <w:rFonts w:ascii="Times New Roman" w:hAnsi="Times New Roman"/>
          <w:sz w:val="32"/>
          <w:szCs w:val="32"/>
        </w:rPr>
        <w:t>84</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"_Toc138889001" </w:instrText>
      </w:r>
      <w:r>
        <w:fldChar w:fldCharType="separate"/>
      </w:r>
      <w:r>
        <w:rPr>
          <w:rStyle w:val="30"/>
          <w:rFonts w:ascii="Times New Roman" w:hAnsi="Times New Roman" w:eastAsia="方正仿宋简体"/>
          <w:sz w:val="32"/>
          <w:szCs w:val="32"/>
        </w:rPr>
        <w:t>4.5.3落实养殖场户主体责任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_Toc138889001 \h </w:instrText>
      </w:r>
      <w:r>
        <w:rPr>
          <w:rFonts w:ascii="Times New Roman" w:hAnsi="Times New Roman"/>
          <w:sz w:val="32"/>
          <w:szCs w:val="32"/>
        </w:rPr>
        <w:fldChar w:fldCharType="separate"/>
      </w:r>
      <w:r>
        <w:rPr>
          <w:rFonts w:ascii="Times New Roman" w:hAnsi="Times New Roman"/>
          <w:sz w:val="32"/>
          <w:szCs w:val="32"/>
        </w:rPr>
        <w:t>85</w:t>
      </w:r>
      <w:r>
        <w:rPr>
          <w:rFonts w:ascii="Times New Roman" w:hAnsi="Times New Roman"/>
          <w:sz w:val="32"/>
          <w:szCs w:val="32"/>
        </w:rPr>
        <w:fldChar w:fldCharType="end"/>
      </w:r>
      <w:r>
        <w:rPr>
          <w:rFonts w:ascii="Times New Roman" w:hAnsi="Times New Roman"/>
          <w:sz w:val="32"/>
          <w:szCs w:val="32"/>
        </w:rPr>
        <w:fldChar w:fldCharType="end"/>
      </w:r>
    </w:p>
    <w:p>
      <w:pPr>
        <w:pStyle w:val="13"/>
        <w:tabs>
          <w:tab w:val="right" w:leader="dot" w:pos="8296"/>
        </w:tabs>
        <w:rPr>
          <w:rFonts w:ascii="Times New Roman" w:hAnsi="Times New Roman" w:eastAsiaTheme="minorEastAsia"/>
          <w:sz w:val="32"/>
          <w:szCs w:val="32"/>
        </w:rPr>
      </w:pPr>
      <w:r>
        <w:fldChar w:fldCharType="begin"/>
      </w:r>
      <w:r>
        <w:instrText xml:space="preserve"> HYPERLINK \l "_Toc138889002" </w:instrText>
      </w:r>
      <w:r>
        <w:fldChar w:fldCharType="separate"/>
      </w:r>
      <w:r>
        <w:rPr>
          <w:rStyle w:val="30"/>
          <w:rFonts w:ascii="Times New Roman" w:hAnsi="Times New Roman" w:eastAsia="方正仿宋简体"/>
          <w:sz w:val="32"/>
          <w:szCs w:val="32"/>
        </w:rPr>
        <w:t>4.5.4强化污染风险</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_Toc138889002 \h </w:instrText>
      </w:r>
      <w:r>
        <w:rPr>
          <w:rFonts w:ascii="Times New Roman" w:hAnsi="Times New Roman"/>
          <w:sz w:val="32"/>
          <w:szCs w:val="32"/>
        </w:rPr>
        <w:fldChar w:fldCharType="separate"/>
      </w:r>
      <w:r>
        <w:rPr>
          <w:rFonts w:ascii="Times New Roman" w:hAnsi="Times New Roman"/>
          <w:sz w:val="32"/>
          <w:szCs w:val="32"/>
        </w:rPr>
        <w:t>86</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"_Toc138889003" </w:instrText>
      </w:r>
      <w:r>
        <w:fldChar w:fldCharType="separate"/>
      </w:r>
      <w:r>
        <w:rPr>
          <w:rStyle w:val="30"/>
          <w:rFonts w:ascii="Times New Roman" w:hAnsi="Times New Roman" w:eastAsia="方正楷体简体"/>
          <w:sz w:val="32"/>
          <w:szCs w:val="32"/>
        </w:rPr>
        <w:t>4.6优化产业空间布局</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_Toc138889003 \h </w:instrText>
      </w:r>
      <w:r>
        <w:rPr>
          <w:rFonts w:ascii="Times New Roman" w:hAnsi="Times New Roman"/>
          <w:sz w:val="32"/>
          <w:szCs w:val="32"/>
        </w:rPr>
        <w:fldChar w:fldCharType="separate"/>
      </w:r>
      <w:r>
        <w:rPr>
          <w:rFonts w:ascii="Times New Roman" w:hAnsi="Times New Roman"/>
          <w:sz w:val="32"/>
          <w:szCs w:val="32"/>
        </w:rPr>
        <w:t>86</w:t>
      </w:r>
      <w:r>
        <w:rPr>
          <w:rFonts w:ascii="Times New Roman" w:hAnsi="Times New Roman"/>
          <w:sz w:val="32"/>
          <w:szCs w:val="32"/>
        </w:rPr>
        <w:fldChar w:fldCharType="end"/>
      </w:r>
      <w:r>
        <w:rPr>
          <w:rFonts w:ascii="Times New Roman" w:hAnsi="Times New Roman"/>
          <w:sz w:val="32"/>
          <w:szCs w:val="32"/>
        </w:rPr>
        <w:fldChar w:fldCharType="end"/>
      </w:r>
    </w:p>
    <w:p>
      <w:pPr>
        <w:pStyle w:val="19"/>
        <w:rPr>
          <w:rFonts w:ascii="Times New Roman" w:hAnsi="Times New Roman" w:eastAsiaTheme="minorEastAsia"/>
          <w:sz w:val="32"/>
          <w:szCs w:val="32"/>
        </w:rPr>
      </w:pPr>
      <w:r>
        <w:fldChar w:fldCharType="begin"/>
      </w:r>
      <w:r>
        <w:instrText xml:space="preserve"> HYPERLINK \l "_Toc138889004" </w:instrText>
      </w:r>
      <w:r>
        <w:fldChar w:fldCharType="separate"/>
      </w:r>
      <w:r>
        <w:rPr>
          <w:rStyle w:val="30"/>
          <w:rFonts w:ascii="Times New Roman" w:hAnsi="Times New Roman" w:eastAsia="方正黑体简体"/>
          <w:sz w:val="32"/>
          <w:szCs w:val="32"/>
        </w:rPr>
        <w:t>5重点工程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_Toc138889004 \h </w:instrText>
      </w:r>
      <w:r>
        <w:rPr>
          <w:rFonts w:ascii="Times New Roman" w:hAnsi="Times New Roman"/>
          <w:sz w:val="32"/>
          <w:szCs w:val="32"/>
        </w:rPr>
        <w:fldChar w:fldCharType="separate"/>
      </w:r>
      <w:r>
        <w:rPr>
          <w:rFonts w:ascii="Times New Roman" w:hAnsi="Times New Roman"/>
          <w:sz w:val="32"/>
          <w:szCs w:val="32"/>
        </w:rPr>
        <w:t>87</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"_Toc138889005" </w:instrText>
      </w:r>
      <w:r>
        <w:fldChar w:fldCharType="separate"/>
      </w:r>
      <w:r>
        <w:rPr>
          <w:rStyle w:val="30"/>
          <w:rFonts w:ascii="Times New Roman" w:hAnsi="Times New Roman" w:eastAsia="方正楷体简体"/>
          <w:sz w:val="32"/>
          <w:szCs w:val="32"/>
        </w:rPr>
        <w:t>5.1畜禽规模养殖场及散养户粪污处理设施建设</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_Toc138889005 \h </w:instrText>
      </w:r>
      <w:r>
        <w:rPr>
          <w:rFonts w:ascii="Times New Roman" w:hAnsi="Times New Roman"/>
          <w:sz w:val="32"/>
          <w:szCs w:val="32"/>
        </w:rPr>
        <w:fldChar w:fldCharType="separate"/>
      </w:r>
      <w:r>
        <w:rPr>
          <w:rFonts w:ascii="Times New Roman" w:hAnsi="Times New Roman"/>
          <w:sz w:val="32"/>
          <w:szCs w:val="32"/>
        </w:rPr>
        <w:t>87</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"_Toc138889006" </w:instrText>
      </w:r>
      <w:r>
        <w:fldChar w:fldCharType="separate"/>
      </w:r>
      <w:r>
        <w:rPr>
          <w:rStyle w:val="30"/>
          <w:rFonts w:ascii="Times New Roman" w:hAnsi="Times New Roman" w:eastAsia="方正楷体简体"/>
          <w:sz w:val="32"/>
          <w:szCs w:val="32"/>
        </w:rPr>
        <w:t>5.2畜禽粪污集中处理设施建设</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_Toc138889006 \h </w:instrText>
      </w:r>
      <w:r>
        <w:rPr>
          <w:rFonts w:ascii="Times New Roman" w:hAnsi="Times New Roman"/>
          <w:sz w:val="32"/>
          <w:szCs w:val="32"/>
        </w:rPr>
        <w:fldChar w:fldCharType="separate"/>
      </w:r>
      <w:r>
        <w:rPr>
          <w:rFonts w:ascii="Times New Roman" w:hAnsi="Times New Roman"/>
          <w:sz w:val="32"/>
          <w:szCs w:val="32"/>
        </w:rPr>
        <w:t>87</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"_Toc138889007" </w:instrText>
      </w:r>
      <w:r>
        <w:fldChar w:fldCharType="separate"/>
      </w:r>
      <w:r>
        <w:rPr>
          <w:rStyle w:val="30"/>
          <w:rFonts w:ascii="Times New Roman" w:hAnsi="Times New Roman" w:eastAsia="方正楷体简体"/>
          <w:sz w:val="32"/>
          <w:szCs w:val="32"/>
        </w:rPr>
        <w:t>5.3田间配套设施建设</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_Toc138889007 \h </w:instrText>
      </w:r>
      <w:r>
        <w:rPr>
          <w:rFonts w:ascii="Times New Roman" w:hAnsi="Times New Roman"/>
          <w:sz w:val="32"/>
          <w:szCs w:val="32"/>
        </w:rPr>
        <w:fldChar w:fldCharType="separate"/>
      </w:r>
      <w:r>
        <w:rPr>
          <w:rFonts w:ascii="Times New Roman" w:hAnsi="Times New Roman"/>
          <w:sz w:val="32"/>
          <w:szCs w:val="32"/>
        </w:rPr>
        <w:t>88</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"_Toc138889008" </w:instrText>
      </w:r>
      <w:r>
        <w:fldChar w:fldCharType="separate"/>
      </w:r>
      <w:r>
        <w:rPr>
          <w:rStyle w:val="30"/>
          <w:rFonts w:ascii="Times New Roman" w:hAnsi="Times New Roman" w:eastAsia="方正楷体简体"/>
          <w:sz w:val="32"/>
          <w:szCs w:val="32"/>
        </w:rPr>
        <w:t>5.4监管体系建设</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_Toc138889008 \h </w:instrText>
      </w:r>
      <w:r>
        <w:rPr>
          <w:rFonts w:ascii="Times New Roman" w:hAnsi="Times New Roman"/>
          <w:sz w:val="32"/>
          <w:szCs w:val="32"/>
        </w:rPr>
        <w:fldChar w:fldCharType="separate"/>
      </w:r>
      <w:r>
        <w:rPr>
          <w:rFonts w:ascii="Times New Roman" w:hAnsi="Times New Roman"/>
          <w:sz w:val="32"/>
          <w:szCs w:val="32"/>
        </w:rPr>
        <w:t>89</w:t>
      </w:r>
      <w:r>
        <w:rPr>
          <w:rFonts w:ascii="Times New Roman" w:hAnsi="Times New Roman"/>
          <w:sz w:val="32"/>
          <w:szCs w:val="32"/>
        </w:rPr>
        <w:fldChar w:fldCharType="end"/>
      </w:r>
      <w:r>
        <w:rPr>
          <w:rFonts w:ascii="Times New Roman" w:hAnsi="Times New Roman"/>
          <w:sz w:val="32"/>
          <w:szCs w:val="32"/>
        </w:rPr>
        <w:fldChar w:fldCharType="end"/>
      </w:r>
    </w:p>
    <w:p>
      <w:pPr>
        <w:pStyle w:val="19"/>
        <w:rPr>
          <w:rFonts w:ascii="Times New Roman" w:hAnsi="Times New Roman" w:eastAsiaTheme="minorEastAsia"/>
          <w:sz w:val="32"/>
          <w:szCs w:val="32"/>
        </w:rPr>
      </w:pPr>
      <w:r>
        <w:fldChar w:fldCharType="begin"/>
      </w:r>
      <w:r>
        <w:instrText xml:space="preserve"> HYPERLINK \l "_Toc138889009" </w:instrText>
      </w:r>
      <w:r>
        <w:fldChar w:fldCharType="separate"/>
      </w:r>
      <w:r>
        <w:rPr>
          <w:rStyle w:val="30"/>
          <w:rFonts w:ascii="Times New Roman" w:hAnsi="Times New Roman" w:eastAsia="方正黑体简体"/>
          <w:sz w:val="32"/>
          <w:szCs w:val="32"/>
        </w:rPr>
        <w:t>6工程投资估算与资金筹措</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_Toc138889009 \h </w:instrText>
      </w:r>
      <w:r>
        <w:rPr>
          <w:rFonts w:ascii="Times New Roman" w:hAnsi="Times New Roman"/>
          <w:sz w:val="32"/>
          <w:szCs w:val="32"/>
        </w:rPr>
        <w:fldChar w:fldCharType="separate"/>
      </w:r>
      <w:r>
        <w:rPr>
          <w:rFonts w:ascii="Times New Roman" w:hAnsi="Times New Roman"/>
          <w:sz w:val="32"/>
          <w:szCs w:val="32"/>
        </w:rPr>
        <w:t>91</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"_Toc138889010" </w:instrText>
      </w:r>
      <w:r>
        <w:fldChar w:fldCharType="separate"/>
      </w:r>
      <w:r>
        <w:rPr>
          <w:rStyle w:val="30"/>
          <w:rFonts w:ascii="Times New Roman" w:hAnsi="Times New Roman" w:eastAsia="方正楷体简体"/>
          <w:sz w:val="32"/>
          <w:szCs w:val="32"/>
        </w:rPr>
        <w:t>6.1工程投资估算</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_Toc138889010 \h </w:instrText>
      </w:r>
      <w:r>
        <w:rPr>
          <w:rFonts w:ascii="Times New Roman" w:hAnsi="Times New Roman"/>
          <w:sz w:val="32"/>
          <w:szCs w:val="32"/>
        </w:rPr>
        <w:fldChar w:fldCharType="separate"/>
      </w:r>
      <w:r>
        <w:rPr>
          <w:rFonts w:ascii="Times New Roman" w:hAnsi="Times New Roman"/>
          <w:sz w:val="32"/>
          <w:szCs w:val="32"/>
        </w:rPr>
        <w:t>91</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"_Toc138889011" </w:instrText>
      </w:r>
      <w:r>
        <w:fldChar w:fldCharType="separate"/>
      </w:r>
      <w:r>
        <w:rPr>
          <w:rStyle w:val="30"/>
          <w:rFonts w:ascii="Times New Roman" w:hAnsi="Times New Roman" w:eastAsia="方正楷体简体"/>
          <w:sz w:val="32"/>
          <w:szCs w:val="32"/>
        </w:rPr>
        <w:t>6.2资金筹措</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_Toc138889011 \h </w:instrText>
      </w:r>
      <w:r>
        <w:rPr>
          <w:rFonts w:ascii="Times New Roman" w:hAnsi="Times New Roman"/>
          <w:sz w:val="32"/>
          <w:szCs w:val="32"/>
        </w:rPr>
        <w:fldChar w:fldCharType="separate"/>
      </w:r>
      <w:r>
        <w:rPr>
          <w:rFonts w:ascii="Times New Roman" w:hAnsi="Times New Roman"/>
          <w:sz w:val="32"/>
          <w:szCs w:val="32"/>
        </w:rPr>
        <w:t>91</w:t>
      </w:r>
      <w:r>
        <w:rPr>
          <w:rFonts w:ascii="Times New Roman" w:hAnsi="Times New Roman"/>
          <w:sz w:val="32"/>
          <w:szCs w:val="32"/>
        </w:rPr>
        <w:fldChar w:fldCharType="end"/>
      </w:r>
      <w:r>
        <w:rPr>
          <w:rFonts w:ascii="Times New Roman" w:hAnsi="Times New Roman"/>
          <w:sz w:val="32"/>
          <w:szCs w:val="32"/>
        </w:rPr>
        <w:fldChar w:fldCharType="end"/>
      </w:r>
    </w:p>
    <w:p>
      <w:pPr>
        <w:pStyle w:val="19"/>
        <w:rPr>
          <w:rFonts w:ascii="Times New Roman" w:hAnsi="Times New Roman" w:eastAsiaTheme="minorEastAsia"/>
          <w:sz w:val="32"/>
          <w:szCs w:val="32"/>
        </w:rPr>
      </w:pPr>
      <w:r>
        <w:fldChar w:fldCharType="begin"/>
      </w:r>
      <w:r>
        <w:instrText xml:space="preserve"> HYPERLINK \l "_Toc138889012" </w:instrText>
      </w:r>
      <w:r>
        <w:fldChar w:fldCharType="separate"/>
      </w:r>
      <w:r>
        <w:rPr>
          <w:rStyle w:val="30"/>
          <w:rFonts w:ascii="Times New Roman" w:hAnsi="Times New Roman" w:eastAsia="方正黑体简体"/>
          <w:sz w:val="32"/>
          <w:szCs w:val="32"/>
        </w:rPr>
        <w:t>7效益分析</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_Toc138889012 \h </w:instrText>
      </w:r>
      <w:r>
        <w:rPr>
          <w:rFonts w:ascii="Times New Roman" w:hAnsi="Times New Roman"/>
          <w:sz w:val="32"/>
          <w:szCs w:val="32"/>
        </w:rPr>
        <w:fldChar w:fldCharType="separate"/>
      </w:r>
      <w:r>
        <w:rPr>
          <w:rFonts w:ascii="Times New Roman" w:hAnsi="Times New Roman"/>
          <w:sz w:val="32"/>
          <w:szCs w:val="32"/>
        </w:rPr>
        <w:t>93</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"_Toc138889013" </w:instrText>
      </w:r>
      <w:r>
        <w:fldChar w:fldCharType="separate"/>
      </w:r>
      <w:r>
        <w:rPr>
          <w:rStyle w:val="30"/>
          <w:rFonts w:ascii="Times New Roman" w:hAnsi="Times New Roman" w:eastAsia="方正楷体简体"/>
          <w:sz w:val="32"/>
          <w:szCs w:val="32"/>
        </w:rPr>
        <w:t>7.1环境效益</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_Toc138889013 \h </w:instrText>
      </w:r>
      <w:r>
        <w:rPr>
          <w:rFonts w:ascii="Times New Roman" w:hAnsi="Times New Roman"/>
          <w:sz w:val="32"/>
          <w:szCs w:val="32"/>
        </w:rPr>
        <w:fldChar w:fldCharType="separate"/>
      </w:r>
      <w:r>
        <w:rPr>
          <w:rFonts w:ascii="Times New Roman" w:hAnsi="Times New Roman"/>
          <w:sz w:val="32"/>
          <w:szCs w:val="32"/>
        </w:rPr>
        <w:t>93</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"_Toc138889014" </w:instrText>
      </w:r>
      <w:r>
        <w:fldChar w:fldCharType="separate"/>
      </w:r>
      <w:r>
        <w:rPr>
          <w:rStyle w:val="30"/>
          <w:rFonts w:ascii="Times New Roman" w:hAnsi="Times New Roman" w:eastAsia="方正楷体简体"/>
          <w:sz w:val="32"/>
          <w:szCs w:val="32"/>
        </w:rPr>
        <w:t>7.2经济效益</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_Toc138889014 \h </w:instrText>
      </w:r>
      <w:r>
        <w:rPr>
          <w:rFonts w:ascii="Times New Roman" w:hAnsi="Times New Roman"/>
          <w:sz w:val="32"/>
          <w:szCs w:val="32"/>
        </w:rPr>
        <w:fldChar w:fldCharType="separate"/>
      </w:r>
      <w:r>
        <w:rPr>
          <w:rFonts w:ascii="Times New Roman" w:hAnsi="Times New Roman"/>
          <w:sz w:val="32"/>
          <w:szCs w:val="32"/>
        </w:rPr>
        <w:t>93</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"_Toc138889015" </w:instrText>
      </w:r>
      <w:r>
        <w:fldChar w:fldCharType="separate"/>
      </w:r>
      <w:r>
        <w:rPr>
          <w:rStyle w:val="30"/>
          <w:rFonts w:ascii="Times New Roman" w:hAnsi="Times New Roman" w:eastAsia="方正楷体简体"/>
          <w:sz w:val="32"/>
          <w:szCs w:val="32"/>
        </w:rPr>
        <w:t>7.3社会效益</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_Toc138889015 \h </w:instrText>
      </w:r>
      <w:r>
        <w:rPr>
          <w:rFonts w:ascii="Times New Roman" w:hAnsi="Times New Roman"/>
          <w:sz w:val="32"/>
          <w:szCs w:val="32"/>
        </w:rPr>
        <w:fldChar w:fldCharType="separate"/>
      </w:r>
      <w:r>
        <w:rPr>
          <w:rFonts w:ascii="Times New Roman" w:hAnsi="Times New Roman"/>
          <w:sz w:val="32"/>
          <w:szCs w:val="32"/>
        </w:rPr>
        <w:t>94</w:t>
      </w:r>
      <w:r>
        <w:rPr>
          <w:rFonts w:ascii="Times New Roman" w:hAnsi="Times New Roman"/>
          <w:sz w:val="32"/>
          <w:szCs w:val="32"/>
        </w:rPr>
        <w:fldChar w:fldCharType="end"/>
      </w:r>
      <w:r>
        <w:rPr>
          <w:rFonts w:ascii="Times New Roman" w:hAnsi="Times New Roman"/>
          <w:sz w:val="32"/>
          <w:szCs w:val="32"/>
        </w:rPr>
        <w:fldChar w:fldCharType="end"/>
      </w:r>
    </w:p>
    <w:p>
      <w:pPr>
        <w:pStyle w:val="19"/>
        <w:rPr>
          <w:rFonts w:ascii="Times New Roman" w:hAnsi="Times New Roman" w:eastAsiaTheme="minorEastAsia"/>
          <w:sz w:val="32"/>
          <w:szCs w:val="32"/>
        </w:rPr>
      </w:pPr>
      <w:r>
        <w:fldChar w:fldCharType="begin"/>
      </w:r>
      <w:r>
        <w:instrText xml:space="preserve"> HYPERLINK \l "_Toc138889016" </w:instrText>
      </w:r>
      <w:r>
        <w:fldChar w:fldCharType="separate"/>
      </w:r>
      <w:r>
        <w:rPr>
          <w:rStyle w:val="30"/>
          <w:rFonts w:ascii="Times New Roman" w:hAnsi="Times New Roman" w:eastAsia="方正黑体简体"/>
          <w:sz w:val="32"/>
          <w:szCs w:val="32"/>
        </w:rPr>
        <w:t>8保障措施</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_Toc138889016 \h </w:instrText>
      </w:r>
      <w:r>
        <w:rPr>
          <w:rFonts w:ascii="Times New Roman" w:hAnsi="Times New Roman"/>
          <w:sz w:val="32"/>
          <w:szCs w:val="32"/>
        </w:rPr>
        <w:fldChar w:fldCharType="separate"/>
      </w:r>
      <w:r>
        <w:rPr>
          <w:rFonts w:ascii="Times New Roman" w:hAnsi="Times New Roman"/>
          <w:sz w:val="32"/>
          <w:szCs w:val="32"/>
        </w:rPr>
        <w:t>95</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"_Toc138889017" </w:instrText>
      </w:r>
      <w:r>
        <w:fldChar w:fldCharType="separate"/>
      </w:r>
      <w:r>
        <w:rPr>
          <w:rStyle w:val="30"/>
          <w:rFonts w:ascii="Times New Roman" w:hAnsi="Times New Roman" w:eastAsia="方正楷体简体"/>
          <w:sz w:val="32"/>
          <w:szCs w:val="32"/>
        </w:rPr>
        <w:t>8.1加强组织领导，严格目标考核</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_Toc138889017 \h </w:instrText>
      </w:r>
      <w:r>
        <w:rPr>
          <w:rFonts w:ascii="Times New Roman" w:hAnsi="Times New Roman"/>
          <w:sz w:val="32"/>
          <w:szCs w:val="32"/>
        </w:rPr>
        <w:fldChar w:fldCharType="separate"/>
      </w:r>
      <w:r>
        <w:rPr>
          <w:rFonts w:ascii="Times New Roman" w:hAnsi="Times New Roman"/>
          <w:sz w:val="32"/>
          <w:szCs w:val="32"/>
        </w:rPr>
        <w:t>95</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"_Toc138889018" </w:instrText>
      </w:r>
      <w:r>
        <w:fldChar w:fldCharType="separate"/>
      </w:r>
      <w:r>
        <w:rPr>
          <w:rStyle w:val="30"/>
          <w:rFonts w:ascii="Times New Roman" w:hAnsi="Times New Roman" w:eastAsia="方正楷体简体"/>
          <w:sz w:val="32"/>
          <w:szCs w:val="32"/>
        </w:rPr>
        <w:t>8.2加强监督管理，建立监督考核机制</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_Toc138889018 \h </w:instrText>
      </w:r>
      <w:r>
        <w:rPr>
          <w:rFonts w:ascii="Times New Roman" w:hAnsi="Times New Roman"/>
          <w:sz w:val="32"/>
          <w:szCs w:val="32"/>
        </w:rPr>
        <w:fldChar w:fldCharType="separate"/>
      </w:r>
      <w:r>
        <w:rPr>
          <w:rFonts w:ascii="Times New Roman" w:hAnsi="Times New Roman"/>
          <w:sz w:val="32"/>
          <w:szCs w:val="32"/>
        </w:rPr>
        <w:t>95</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"_Toc138889019" </w:instrText>
      </w:r>
      <w:r>
        <w:fldChar w:fldCharType="separate"/>
      </w:r>
      <w:r>
        <w:rPr>
          <w:rStyle w:val="30"/>
          <w:rFonts w:ascii="Times New Roman" w:hAnsi="Times New Roman" w:eastAsia="方正楷体简体"/>
          <w:sz w:val="32"/>
          <w:szCs w:val="32"/>
        </w:rPr>
        <w:t>8.3增加投入，加大政策扶持</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_Toc138889019 \h </w:instrText>
      </w:r>
      <w:r>
        <w:rPr>
          <w:rFonts w:ascii="Times New Roman" w:hAnsi="Times New Roman"/>
          <w:sz w:val="32"/>
          <w:szCs w:val="32"/>
        </w:rPr>
        <w:fldChar w:fldCharType="separate"/>
      </w:r>
      <w:r>
        <w:rPr>
          <w:rFonts w:ascii="Times New Roman" w:hAnsi="Times New Roman"/>
          <w:sz w:val="32"/>
          <w:szCs w:val="32"/>
        </w:rPr>
        <w:t>96</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"_Toc138889020" </w:instrText>
      </w:r>
      <w:r>
        <w:fldChar w:fldCharType="separate"/>
      </w:r>
      <w:r>
        <w:rPr>
          <w:rStyle w:val="30"/>
          <w:rFonts w:ascii="Times New Roman" w:hAnsi="Times New Roman" w:eastAsia="方正楷体简体"/>
          <w:sz w:val="32"/>
          <w:szCs w:val="32"/>
        </w:rPr>
        <w:t>8.4加强技术指导，引导养殖清洁化</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_Toc138889020 \h </w:instrText>
      </w:r>
      <w:r>
        <w:rPr>
          <w:rFonts w:ascii="Times New Roman" w:hAnsi="Times New Roman"/>
          <w:sz w:val="32"/>
          <w:szCs w:val="32"/>
        </w:rPr>
        <w:fldChar w:fldCharType="separate"/>
      </w:r>
      <w:r>
        <w:rPr>
          <w:rFonts w:ascii="Times New Roman" w:hAnsi="Times New Roman"/>
          <w:sz w:val="32"/>
          <w:szCs w:val="32"/>
        </w:rPr>
        <w:t>96</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"_Toc138889021" </w:instrText>
      </w:r>
      <w:r>
        <w:fldChar w:fldCharType="separate"/>
      </w:r>
      <w:r>
        <w:rPr>
          <w:rStyle w:val="30"/>
          <w:rFonts w:ascii="Times New Roman" w:hAnsi="Times New Roman" w:eastAsia="方正楷体简体"/>
          <w:sz w:val="32"/>
          <w:szCs w:val="32"/>
        </w:rPr>
        <w:t>8.5加大宣传引导，营造治理氛围</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_Toc138889021 \h </w:instrText>
      </w:r>
      <w:r>
        <w:rPr>
          <w:rFonts w:ascii="Times New Roman" w:hAnsi="Times New Roman"/>
          <w:sz w:val="32"/>
          <w:szCs w:val="32"/>
        </w:rPr>
        <w:fldChar w:fldCharType="separate"/>
      </w:r>
      <w:r>
        <w:rPr>
          <w:rFonts w:ascii="Times New Roman" w:hAnsi="Times New Roman"/>
          <w:sz w:val="32"/>
          <w:szCs w:val="32"/>
        </w:rPr>
        <w:t>97</w:t>
      </w:r>
      <w:r>
        <w:rPr>
          <w:rFonts w:ascii="Times New Roman" w:hAnsi="Times New Roman"/>
          <w:sz w:val="32"/>
          <w:szCs w:val="32"/>
        </w:rPr>
        <w:fldChar w:fldCharType="end"/>
      </w:r>
      <w:r>
        <w:rPr>
          <w:rFonts w:ascii="Times New Roman" w:hAnsi="Times New Roman"/>
          <w:sz w:val="32"/>
          <w:szCs w:val="32"/>
        </w:rPr>
        <w:fldChar w:fldCharType="end"/>
      </w:r>
    </w:p>
    <w:p>
      <w:pPr>
        <w:pStyle w:val="19"/>
        <w:rPr>
          <w:rFonts w:ascii="Times New Roman" w:hAnsi="Times New Roman" w:eastAsiaTheme="minorEastAsia"/>
          <w:sz w:val="32"/>
          <w:szCs w:val="32"/>
        </w:rPr>
      </w:pPr>
      <w:r>
        <w:fldChar w:fldCharType="begin"/>
      </w:r>
      <w:r>
        <w:instrText xml:space="preserve"> HYPERLINK \l "_Toc138889022" </w:instrText>
      </w:r>
      <w:r>
        <w:fldChar w:fldCharType="separate"/>
      </w:r>
      <w:r>
        <w:rPr>
          <w:rStyle w:val="30"/>
          <w:rFonts w:ascii="Times New Roman" w:hAnsi="Times New Roman" w:eastAsia="方正黑体简体"/>
          <w:sz w:val="32"/>
          <w:szCs w:val="32"/>
        </w:rPr>
        <w:t>9附表及附图</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_Toc138889022 \h </w:instrText>
      </w:r>
      <w:r>
        <w:rPr>
          <w:rFonts w:ascii="Times New Roman" w:hAnsi="Times New Roman"/>
          <w:sz w:val="32"/>
          <w:szCs w:val="32"/>
        </w:rPr>
        <w:fldChar w:fldCharType="separate"/>
      </w:r>
      <w:r>
        <w:rPr>
          <w:rFonts w:ascii="Times New Roman" w:hAnsi="Times New Roman"/>
          <w:sz w:val="32"/>
          <w:szCs w:val="32"/>
        </w:rPr>
        <w:t>98</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32"/>
          <w:szCs w:val="32"/>
        </w:rPr>
      </w:pPr>
      <w:r>
        <w:fldChar w:fldCharType="begin"/>
      </w:r>
      <w:r>
        <w:instrText xml:space="preserve"> HYPERLINK \l "_Toc138889023" </w:instrText>
      </w:r>
      <w:r>
        <w:fldChar w:fldCharType="separate"/>
      </w:r>
      <w:r>
        <w:rPr>
          <w:rStyle w:val="30"/>
          <w:rFonts w:ascii="Times New Roman" w:hAnsi="Times New Roman" w:eastAsia="方正楷体简体"/>
          <w:sz w:val="32"/>
          <w:szCs w:val="32"/>
        </w:rPr>
        <w:t>9.1附表</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_Toc138889023 \h </w:instrText>
      </w:r>
      <w:r>
        <w:rPr>
          <w:rFonts w:ascii="Times New Roman" w:hAnsi="Times New Roman"/>
          <w:sz w:val="32"/>
          <w:szCs w:val="32"/>
        </w:rPr>
        <w:fldChar w:fldCharType="separate"/>
      </w:r>
      <w:r>
        <w:rPr>
          <w:rFonts w:ascii="Times New Roman" w:hAnsi="Times New Roman"/>
          <w:sz w:val="32"/>
          <w:szCs w:val="32"/>
        </w:rPr>
        <w:t>98</w:t>
      </w:r>
      <w:r>
        <w:rPr>
          <w:rFonts w:ascii="Times New Roman" w:hAnsi="Times New Roman"/>
          <w:sz w:val="32"/>
          <w:szCs w:val="32"/>
        </w:rPr>
        <w:fldChar w:fldCharType="end"/>
      </w:r>
      <w:r>
        <w:rPr>
          <w:rFonts w:ascii="Times New Roman" w:hAnsi="Times New Roman"/>
          <w:sz w:val="32"/>
          <w:szCs w:val="32"/>
        </w:rPr>
        <w:fldChar w:fldCharType="end"/>
      </w:r>
    </w:p>
    <w:p>
      <w:pPr>
        <w:pStyle w:val="22"/>
        <w:rPr>
          <w:rFonts w:ascii="Times New Roman" w:hAnsi="Times New Roman" w:eastAsiaTheme="minorEastAsia"/>
          <w:sz w:val="21"/>
        </w:rPr>
      </w:pPr>
      <w:r>
        <w:fldChar w:fldCharType="begin"/>
      </w:r>
      <w:r>
        <w:instrText xml:space="preserve"> HYPERLINK \l "_Toc138889024" </w:instrText>
      </w:r>
      <w:r>
        <w:fldChar w:fldCharType="separate"/>
      </w:r>
      <w:r>
        <w:rPr>
          <w:rStyle w:val="30"/>
          <w:rFonts w:ascii="Times New Roman" w:hAnsi="Times New Roman" w:eastAsia="方正楷体简体"/>
          <w:sz w:val="32"/>
          <w:szCs w:val="32"/>
        </w:rPr>
        <w:t>9.2附图</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_Toc138889024 \h </w:instrText>
      </w:r>
      <w:r>
        <w:rPr>
          <w:rFonts w:ascii="Times New Roman" w:hAnsi="Times New Roman"/>
          <w:sz w:val="32"/>
          <w:szCs w:val="32"/>
        </w:rPr>
        <w:fldChar w:fldCharType="separate"/>
      </w:r>
      <w:r>
        <w:rPr>
          <w:rFonts w:ascii="Times New Roman" w:hAnsi="Times New Roman"/>
          <w:sz w:val="32"/>
          <w:szCs w:val="32"/>
        </w:rPr>
        <w:t>98</w:t>
      </w:r>
      <w:r>
        <w:rPr>
          <w:rFonts w:ascii="Times New Roman" w:hAnsi="Times New Roman"/>
          <w:sz w:val="32"/>
          <w:szCs w:val="32"/>
        </w:rPr>
        <w:fldChar w:fldCharType="end"/>
      </w:r>
      <w:r>
        <w:rPr>
          <w:rFonts w:ascii="Times New Roman" w:hAnsi="Times New Roman"/>
          <w:sz w:val="32"/>
          <w:szCs w:val="32"/>
        </w:rPr>
        <w:fldChar w:fldCharType="end"/>
      </w:r>
    </w:p>
    <w:p>
      <w:pPr>
        <w:spacing w:line="360" w:lineRule="auto"/>
        <w:rPr>
          <w:rFonts w:ascii="Times New Roman" w:hAnsi="Times New Roman" w:eastAsia="方正仿宋简体"/>
          <w:b/>
          <w:bCs/>
          <w:color w:val="000000" w:themeColor="text1"/>
          <w:sz w:val="28"/>
          <w:szCs w:val="28"/>
          <w:lang w:val="zh-CN"/>
          <w14:textFill>
            <w14:solidFill>
              <w14:schemeClr w14:val="tx1"/>
            </w14:solidFill>
          </w14:textFill>
        </w:rPr>
      </w:pPr>
      <w:r>
        <w:rPr>
          <w:rFonts w:ascii="Times New Roman" w:hAnsi="Times New Roman" w:eastAsia="方正仿宋简体"/>
          <w:b/>
          <w:bCs/>
          <w:color w:val="000000" w:themeColor="text1"/>
          <w:sz w:val="32"/>
          <w:szCs w:val="32"/>
          <w:lang w:val="zh-CN"/>
          <w14:textFill>
            <w14:solidFill>
              <w14:schemeClr w14:val="tx1"/>
            </w14:solidFill>
          </w14:textFill>
        </w:rPr>
        <w:fldChar w:fldCharType="end"/>
      </w:r>
      <w:r>
        <w:rPr>
          <w:rFonts w:ascii="Times New Roman" w:hAnsi="Times New Roman" w:eastAsia="方正仿宋简体"/>
          <w:b/>
          <w:bCs/>
          <w:color w:val="000000" w:themeColor="text1"/>
          <w:sz w:val="28"/>
          <w:szCs w:val="28"/>
          <w:lang w:val="zh-CN"/>
          <w14:textFill>
            <w14:solidFill>
              <w14:schemeClr w14:val="tx1"/>
            </w14:solidFill>
          </w14:textFill>
        </w:rPr>
        <w:br w:type="page"/>
      </w:r>
    </w:p>
    <w:p>
      <w:pPr>
        <w:rPr>
          <w:rFonts w:ascii="Times New Roman" w:hAnsi="Times New Roman" w:eastAsia="方正仿宋简体"/>
          <w:b/>
          <w:bCs/>
          <w:color w:val="000000" w:themeColor="text1"/>
          <w:sz w:val="24"/>
          <w:szCs w:val="24"/>
          <w:lang w:val="zh-CN"/>
          <w14:textFill>
            <w14:solidFill>
              <w14:schemeClr w14:val="tx1"/>
            </w14:solidFill>
          </w14:textFill>
        </w:rPr>
        <w:sectPr>
          <w:footerReference r:id="rId4" w:type="default"/>
          <w:pgSz w:w="11906" w:h="16838"/>
          <w:pgMar w:top="1440" w:right="1800" w:bottom="1440" w:left="1800" w:header="851" w:footer="992" w:gutter="0"/>
          <w:pgNumType w:fmt="upperRoman" w:start="1" w:chapStyle="1"/>
          <w:cols w:space="425" w:num="1"/>
          <w:docGrid w:type="lines" w:linePitch="312" w:charSpace="0"/>
        </w:sectPr>
      </w:pPr>
    </w:p>
    <w:p>
      <w:pPr>
        <w:pStyle w:val="2"/>
        <w:spacing w:before="0" w:after="0" w:line="560" w:lineRule="exact"/>
        <w:jc w:val="left"/>
        <w:rPr>
          <w:rFonts w:ascii="Times New Roman" w:hAnsi="Times New Roman" w:eastAsia="方正黑体简体"/>
          <w:b w:val="0"/>
          <w:color w:val="000000" w:themeColor="text1"/>
          <w:sz w:val="32"/>
          <w:szCs w:val="32"/>
          <w14:textFill>
            <w14:solidFill>
              <w14:schemeClr w14:val="tx1"/>
            </w14:solidFill>
          </w14:textFill>
        </w:rPr>
      </w:pPr>
      <w:bookmarkStart w:id="0" w:name="_Toc119856644"/>
      <w:bookmarkStart w:id="1" w:name="_Toc138888940"/>
      <w:r>
        <w:rPr>
          <w:rFonts w:ascii="Times New Roman" w:hAnsi="Times New Roman" w:eastAsia="方正黑体简体"/>
          <w:b w:val="0"/>
          <w:color w:val="000000" w:themeColor="text1"/>
          <w:sz w:val="32"/>
          <w:szCs w:val="32"/>
          <w14:textFill>
            <w14:solidFill>
              <w14:schemeClr w14:val="tx1"/>
            </w14:solidFill>
          </w14:textFill>
        </w:rPr>
        <w:t>1总则</w:t>
      </w:r>
      <w:bookmarkEnd w:id="0"/>
      <w:bookmarkEnd w:id="1"/>
    </w:p>
    <w:p>
      <w:pPr>
        <w:pStyle w:val="3"/>
      </w:pPr>
      <w:bookmarkStart w:id="2" w:name="_Toc119856645"/>
      <w:bookmarkStart w:id="3" w:name="_Toc138888941"/>
      <w:r>
        <w:t>1.1规划背景</w:t>
      </w:r>
      <w:bookmarkEnd w:id="2"/>
      <w:bookmarkEnd w:id="3"/>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2013年10月8日，国务院第26次常务会议通过了《畜禽规模养殖污染防治条例》，2013年11月11日以中华人民共和国国务院令第643号公布，自2014年1月1日起施行。要求畜牧业发展规划应当统筹考虑环境承载能力及畜禽养殖污染防治要求，合理布局，科学确定畜禽养殖的品种、规模、总量；畜禽养殖污染防治规划应当统筹考虑生产布局，明确污染防治目标、任务、重点区域、设施建设及防治措施。</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2017年，《国务院办公厅关于加快推进畜禽养殖废弃物资源化利用的意见》（国办发〔2017〕48号）、《畜禽粪污资源化利用行动方案（2017-2020年）》（农牧发〔2017〕11号）等文件的发布，对畜禽养殖污染防治和废弃物资源化利用提出了更高的要求。2017年9月30日，山东省人民政府办公厅《关于印发山东省加快推进畜禽养殖废弃物资源化利用实施方案的通知》（鲁政办发〔2017〕68号），要求坚持保供给与保环境并重，按照源头减量、过程控制、末端利用的治理思路，以畜牧大县和规模养殖场为重点，以肥料化和能源化为主要利用方向，优化产业布局，配建处理设施，培育处理主体，加强科技支撑，严格执法监管，完善政策扶持，健全制度体系，强化绩效考核，确保问题不反弹，全面推进畜禽养殖废弃物资源化利用，加快构建种养结合、农牧循环的可持续发展新格局。</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2019年 11月，济宁太白湖新区管理委员会发布了《太白湖新区畜禽养殖禁养区优化方案》（济太管办字〔2019〕号），划定了济宁太白湖新区畜禽禁养区范围。方案以优化畜禽养殖产业布局、控制农业面源污染、保障生态环境安全为目的，科学合理划定禁养区范围，切实加强环境监管，促进环境保护和畜牧业协调发展。</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2020年，《关于进一步规范畜禽养殖禁养区管理的通知》（环办土壤函〔2020〕33号）、《关于进一步明确畜禽粪污还田利用要求强化养殖污染监管的通知》（农办牧〔2020〕23号）等相关文件的发布进一步加强畜禽养殖污染防治工作，促进养殖粪污综合利用，保障畜禽养殖业健康发展，保护和改善农村生态环境。</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2022年11月1日，山东省生态环境厅、省农业农村厅、省畜牧兽医局联合印发了《山东省“十四五”畜禽养殖污染防治行动方案》（鲁环发〔2022〕16号）的通知，方案以促进畜牧业健康可持续发展和生态环境高水平保护，稳步提升畜禽养殖污染防治水平为目标。要求各养殖大县及时组织开展现场调查，做好基础资料收集、汇总工作，按照《畜禽养殖污染防治规划编制指南（试行）》要求开展规划编制工作。</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为扎实推进我</w:t>
      </w:r>
      <w:r>
        <w:rPr>
          <w:rFonts w:hint="eastAsia" w:ascii="Times New Roman" w:hAnsi="Times New Roman" w:eastAsia="方正仿宋简体"/>
          <w:color w:val="000000" w:themeColor="text1"/>
          <w:sz w:val="32"/>
          <w:szCs w:val="32"/>
          <w14:textFill>
            <w14:solidFill>
              <w14:schemeClr w14:val="tx1"/>
            </w14:solidFill>
          </w14:textFill>
        </w:rPr>
        <w:t>区</w:t>
      </w:r>
      <w:r>
        <w:rPr>
          <w:rFonts w:ascii="Times New Roman" w:hAnsi="Times New Roman" w:eastAsia="方正仿宋简体"/>
          <w:color w:val="000000" w:themeColor="text1"/>
          <w:sz w:val="32"/>
          <w:szCs w:val="32"/>
          <w14:textFill>
            <w14:solidFill>
              <w14:schemeClr w14:val="tx1"/>
            </w14:solidFill>
          </w14:textFill>
        </w:rPr>
        <w:t>畜禽养殖污染治理和规范管理工作，促进畜禽养殖业健康持续发展，全面改善农村人居生态环境质量，打好农业农村污染治理攻坚战，严防畜禽养殖污染回潮反弹，巩固整治成果，达到长效管理目标。按照《畜禽规模养殖污染防治条例》规定，加强畜禽养殖污染防治，推进农业面源污染治理、提升耕地质量，加快形成以粪肥还田利用为纽带的种养结合循环发展新格局。济宁市生态环境局北湖省级旅游度假区分局、济宁北湖省级旅游度假区农业服务中心根据《畜禽养殖污染防治规划编制指南（试行）》（环办土壤函〔2021〕465号）要求，结合济宁太白湖新区畜禽养殖现状，编制了《济宁太白湖新区畜禽养殖污染防治规划（2021-2025）》。</w:t>
      </w:r>
    </w:p>
    <w:p>
      <w:pPr>
        <w:pStyle w:val="3"/>
      </w:pPr>
      <w:bookmarkStart w:id="4" w:name="_Toc119849186"/>
      <w:bookmarkStart w:id="5" w:name="_Toc119856646"/>
      <w:bookmarkStart w:id="6" w:name="_Toc119835868"/>
      <w:bookmarkStart w:id="7" w:name="_Toc119856258"/>
      <w:bookmarkStart w:id="8" w:name="_Toc138888942"/>
      <w:bookmarkStart w:id="9" w:name="_Toc119843191"/>
      <w:r>
        <w:t>1.2编制依据</w:t>
      </w:r>
      <w:bookmarkEnd w:id="4"/>
      <w:bookmarkEnd w:id="5"/>
      <w:bookmarkEnd w:id="6"/>
      <w:bookmarkEnd w:id="7"/>
      <w:bookmarkEnd w:id="8"/>
      <w:bookmarkEnd w:id="9"/>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10" w:name="_Toc119856259"/>
      <w:bookmarkStart w:id="11" w:name="_Toc138888943"/>
      <w:bookmarkStart w:id="12" w:name="_Toc119856647"/>
      <w:bookmarkStart w:id="13" w:name="_Toc119835869"/>
      <w:bookmarkStart w:id="14" w:name="_Toc119843192"/>
      <w:bookmarkStart w:id="15" w:name="_Toc119849187"/>
      <w:r>
        <w:rPr>
          <w:rFonts w:ascii="Times New Roman" w:hAnsi="Times New Roman" w:eastAsia="方正仿宋简体"/>
          <w:color w:val="000000" w:themeColor="text1"/>
          <w14:textFill>
            <w14:solidFill>
              <w14:schemeClr w14:val="tx1"/>
            </w14:solidFill>
          </w14:textFill>
        </w:rPr>
        <w:t>1.2.1法律法规</w:t>
      </w:r>
      <w:bookmarkEnd w:id="10"/>
      <w:bookmarkEnd w:id="11"/>
      <w:bookmarkEnd w:id="12"/>
      <w:bookmarkEnd w:id="13"/>
      <w:bookmarkEnd w:id="14"/>
      <w:bookmarkEnd w:id="15"/>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（1）《中华人民共和国环境保护法》（2015年1月1日施行）。</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（2）《中华人民共和国水污染防治法》（2017年6月27日修正）。</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（3）《中华人民共和国水法》（2016年7月2日修正）。</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（4）《中华人民共和国固体废物污染环境防治法》（2020年9月1日施行）。</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（5）《中华人民共和国水土保持法》（2011年3月1日施行）。</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（6）《中华人民共和国森林法》（2020年7月施行）。</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（7）《中华人民共和国土地管理法》（2019年修正）。</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（8）《中华人民共和国畜牧法》（2015年修正）。</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（9）《中华人民共和国基本农田保护条例》（1999年1月施行）。</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（10）《中华人民共和国水土保持法实施条例》（2011年1月修订）。</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（11）《中华人民共和国河道管理条例》（2018年3月19日修正）。</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（12）《畜禽规模养殖污染防治条例》（2014年1月1日施行）。</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（13）《山东省环境保护条例》（2018年11月30日修正）。</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（14）《山东省农业环境保护条例》（2013年11月29日修正）。</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（15）《山东省土壤污染防治条例》（2020年1月1日起施行）。</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16" w:name="_Toc119835870"/>
      <w:bookmarkStart w:id="17" w:name="_Toc119843193"/>
      <w:bookmarkStart w:id="18" w:name="_Toc119849188"/>
      <w:bookmarkStart w:id="19" w:name="_Toc119856648"/>
      <w:bookmarkStart w:id="20" w:name="_Toc138888944"/>
      <w:bookmarkStart w:id="21" w:name="_Toc119856260"/>
      <w:r>
        <w:rPr>
          <w:rFonts w:ascii="Times New Roman" w:hAnsi="Times New Roman" w:eastAsia="方正仿宋简体"/>
          <w:color w:val="000000" w:themeColor="text1"/>
          <w14:textFill>
            <w14:solidFill>
              <w14:schemeClr w14:val="tx1"/>
            </w14:solidFill>
          </w14:textFill>
        </w:rPr>
        <w:t>1.2.2政策文件</w:t>
      </w:r>
      <w:bookmarkEnd w:id="16"/>
      <w:bookmarkEnd w:id="17"/>
      <w:bookmarkEnd w:id="18"/>
      <w:bookmarkEnd w:id="19"/>
      <w:bookmarkEnd w:id="20"/>
      <w:bookmarkEnd w:id="21"/>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bookmarkStart w:id="22" w:name="_Toc119835871"/>
      <w:bookmarkStart w:id="23" w:name="_Toc119843194"/>
      <w:bookmarkStart w:id="24" w:name="_Toc119856649"/>
      <w:bookmarkStart w:id="25" w:name="_Toc119856261"/>
      <w:bookmarkStart w:id="26" w:name="_Toc119849189"/>
      <w:r>
        <w:rPr>
          <w:rFonts w:ascii="Times New Roman" w:hAnsi="Times New Roman" w:eastAsia="方正仿宋简体"/>
          <w:color w:val="000000" w:themeColor="text1"/>
          <w:sz w:val="32"/>
          <w:szCs w:val="32"/>
          <w14:textFill>
            <w14:solidFill>
              <w14:schemeClr w14:val="tx1"/>
            </w14:solidFill>
          </w14:textFill>
        </w:rPr>
        <w:t>（1）《国务院办公厅关于加快推进畜禽养殖废弃物资源化利用的意见》（国办发〔2017〕48号）。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（2）《环境保护部农业部财政部关于进一步加强畜禽养殖主要污染物总量减排工作的通知》（环发〔2013〕2号）。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（3）《关于进一步规范畜禽养殖禁养区划定和管理促进生猪生产发展的通知》（环办土壤〔2019〕55号）。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（4）《关于促进畜禽粪污还田利用依法加强养殖污染治理的指导意见》（农办牧〔2019〕84号）。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（5）《关于进一步明确畜禽粪污还田利用要求强化养殖污染监管的通知》（农办牧〔2020〕23号）。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（6）《关于促进畜牧业高质量发展的意见》（国办发〔2020〕31号）。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（7）《关于进一步规范畜禽养殖禁养区管理的通知》（环办土壤函〔2020〕33号）。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（8）《关于开展水环境承载力评价工作的通知》（环办水体函〔2020〕538号）。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（9）《农业面源污染治理与监督指导实施方案（试行）》（环办土壤〔2021〕8号）。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（10）《关于印发畜禽养殖污染防治规划编制指南（试行）的通知》（环办土壤函〔2021〕465号）。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（11）《关于进一步加快推进畜禽养殖污染防治规划编制的通知》（环办土壤函〔2022〕82号）。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（13）《畜禽养殖污染防治规划编制指南（试行）》（环办土壤函〔2021〕465号）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（14）《山东省畜禽养殖管理办法》（山东省政府令第232号，2021.2.7修改）</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（15）《山东省乡村振兴战略规划（2018-2022年）》（鲁发〔2018〕20号）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（16）《关于促进畜牧业高质量发展的实施意见》（鲁政办发〔2020〕27号）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（17）《山东省畜禽养殖生产服务指南》（鲁牧畜字〔2021〕1号）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（18）《山东省畜牧兽医局山东省生态环境厅转发&lt;农业农村部办公厅生态环境部办公厅关于促进畜禽粪污还田利用依法加强养殖污染治理指导意见&gt;的通知》（鲁牧畜发〔2020〕1号）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（19）《山东省畜牧兽医局山东省生态环境厅关于印发&lt;山东省规模以下畜禽养殖污染防治和粪污资源化利用技术指南（试行）&gt;的通知》（鲁牧畜发〔2021〕8号）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（20）《山东省优化养殖布局推进农牧循环实施方案》（鲁牧畜发〔2020〕21号）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（21）《山东省生态环境厅山东省畜牧兽医局关于转发生态环境部办公厅、农业农村部办公厅&lt;畜禽养殖污染防治规划编制指南（试行）&gt;的通知》（鲁环便函〔2022〕212号）。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（22）《济宁市国民经济和社会发展第十四个五年规划和二</w:t>
      </w:r>
      <w:r>
        <w:rPr>
          <w:rFonts w:ascii="Times New Roman" w:hAnsi="Times New Roman"/>
          <w:color w:val="000000" w:themeColor="text1"/>
          <w:sz w:val="32"/>
          <w:szCs w:val="32"/>
          <w14:textFill>
            <w14:solidFill>
              <w14:schemeClr w14:val="tx1"/>
            </w14:solidFill>
          </w14:textFill>
        </w:rPr>
        <w:t>〇</w:t>
      </w:r>
      <w:r>
        <w:rPr>
          <w:rFonts w:ascii="Times New Roman" w:hAnsi="Times New Roman" w:eastAsia="方正仿宋简体"/>
          <w:color w:val="000000" w:themeColor="text1"/>
          <w:sz w:val="32"/>
          <w:szCs w:val="32"/>
          <w14:textFill>
            <w14:solidFill>
              <w14:schemeClr w14:val="tx1"/>
            </w14:solidFill>
          </w14:textFill>
        </w:rPr>
        <w:t>三五年远景目标纲要》（济政发〔2021〕6号）。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（23）《济宁市“十四五”推进农业农村现代化规划》（2022年4月）。</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（24）《济宁市“十四五”生态环境保护规划》（济政字〔2021〕90号）。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（25）《太白湖新区国民经济和社会发展第十四个五年规划和2035年远景目标纲要》（2021年11月）。</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27" w:name="_Toc138888945"/>
      <w:r>
        <w:rPr>
          <w:rFonts w:ascii="Times New Roman" w:hAnsi="Times New Roman" w:eastAsia="方正仿宋简体"/>
          <w:color w:val="000000" w:themeColor="text1"/>
          <w14:textFill>
            <w14:solidFill>
              <w14:schemeClr w14:val="tx1"/>
            </w14:solidFill>
          </w14:textFill>
        </w:rPr>
        <w:t>1.2.3技术规范及标准</w:t>
      </w:r>
      <w:bookmarkEnd w:id="22"/>
      <w:bookmarkEnd w:id="23"/>
      <w:bookmarkEnd w:id="24"/>
      <w:bookmarkEnd w:id="25"/>
      <w:bookmarkEnd w:id="26"/>
      <w:bookmarkEnd w:id="27"/>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（1）《农田灌溉水质标准》（GB 5084-2021）。</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（2）《粪便无害化卫生要求》（GB 7959-2021）。</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（3）《土壤环境质量农用地土壤污染风险管控标准（试行）》（GB15618-2018）。</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（4）《畜禽养殖业污染物排放标准》（GB 18596-2001）。</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（5）《有机—无机复混肥料》（GB/T 18877-2020）。</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（6）《畜禽粪便监测技术规范》（GB/T 25169-2021）。</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（7）《畜禽粪便还田技术规范》（GB/T 25246-2010）。</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（8）《畜禽养殖污水贮存设施设计要求》（GB/T 26624-2011）。</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（9）《畜禽粪便贮存设施设计要求》（GB/T 27622-2011）。</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（10）《畜禽粪便无害化处理技术规范》（GB/T 36195-2018）。</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（11）《畜禽养殖业污染治理工程技术规范》（HJ 497-2009）。</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（12）《排污许可证申请与核发技术规范畜禽养殖行业》（HJ 1029-2019）。</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（13）《畜禽养殖业污染防治技术规范》（HJ/T 81-2001）。</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（14）《有机肥料》（NY 525-2021）。</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（15）《畜禽场环境污染控制技术规范》（NY/T 1169-2001）。</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（16）《沼肥施用技术规范》（NY/T 2065-2011）。</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（17）《规模畜禽养殖场污染防治最佳可行技术指南（试行）》（HJ-BAT-10-2013）。</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（18）《水环境承载力评价方法（试行）》（办水体函〔2020〕538号）。</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（19）《畜禽粪便土地承载力测算方法》（NY/T 3877-2021）。</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（20）《畜禽规模养殖场粪污资源化利用设施建设规范（试行）》（农办牧〔2018〕2号）。</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（21）《济宁市水功能区管理办法》（济宁市人民政府令第61号）。</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28" w:name="_Toc138888946"/>
      <w:bookmarkStart w:id="29" w:name="_Toc119849190"/>
      <w:bookmarkStart w:id="30" w:name="_Toc119835872"/>
      <w:bookmarkStart w:id="31" w:name="_Toc119843195"/>
      <w:bookmarkStart w:id="32" w:name="_Toc119856650"/>
      <w:bookmarkStart w:id="33" w:name="_Toc119856262"/>
      <w:r>
        <w:rPr>
          <w:rFonts w:ascii="Times New Roman" w:hAnsi="Times New Roman" w:eastAsia="方正仿宋简体"/>
          <w:color w:val="000000" w:themeColor="text1"/>
          <w14:textFill>
            <w14:solidFill>
              <w14:schemeClr w14:val="tx1"/>
            </w14:solidFill>
          </w14:textFill>
        </w:rPr>
        <w:t>1.2.4参考资料</w:t>
      </w:r>
      <w:bookmarkEnd w:id="28"/>
      <w:bookmarkEnd w:id="29"/>
      <w:bookmarkEnd w:id="30"/>
      <w:bookmarkEnd w:id="31"/>
      <w:bookmarkEnd w:id="32"/>
      <w:bookmarkEnd w:id="33"/>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（1）《2020年济宁市水资源公报》。</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（2）《2020 年度济宁市生态环境质量状况》。</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（3）2019年 11月，济宁太白湖新区管理委员会发布了《太白湖新区畜禽养殖禁养区优化方案》（济太管办字〔2019〕号）；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（4）《2020年济宁太白湖新区国民经济和社会发展统计公报》。</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（5）其他相关资料。</w:t>
      </w:r>
      <w:r>
        <w:rPr>
          <w:rFonts w:ascii="Times New Roman" w:hAnsi="Times New Roman" w:eastAsia="方正仿宋简体"/>
          <w:color w:val="000000" w:themeColor="text1"/>
          <w:sz w:val="32"/>
          <w:szCs w:val="32"/>
          <w14:textFill>
            <w14:solidFill>
              <w14:schemeClr w14:val="tx1"/>
            </w14:solidFill>
          </w14:textFill>
        </w:rPr>
        <w:br w:type="page"/>
      </w:r>
    </w:p>
    <w:p>
      <w:pPr>
        <w:pStyle w:val="3"/>
      </w:pPr>
      <w:bookmarkStart w:id="34" w:name="_Toc119835873"/>
      <w:bookmarkStart w:id="35" w:name="_Toc119849191"/>
      <w:bookmarkStart w:id="36" w:name="_Toc119843196"/>
      <w:bookmarkStart w:id="37" w:name="_Toc119856263"/>
      <w:bookmarkStart w:id="38" w:name="_Toc119856651"/>
      <w:bookmarkStart w:id="39" w:name="_Toc138888947"/>
      <w:r>
        <w:t>1.3规划期限及范围</w:t>
      </w:r>
      <w:bookmarkEnd w:id="34"/>
      <w:bookmarkEnd w:id="35"/>
      <w:bookmarkEnd w:id="36"/>
      <w:bookmarkEnd w:id="37"/>
      <w:bookmarkEnd w:id="38"/>
      <w:bookmarkEnd w:id="39"/>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（1）规划时限</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规划期限为5年，即2021～2025年。规划基准年为2020年。</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（2）规划范围</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规划范围：济宁太白湖新区，位于济宁城市南部，2008年2月批准设立，行政辖区总面积约133平方公里，下辖石桥镇和许庄街道，64个村居。包括区域内畜禽规模养殖场和规模以下养殖户。</w:t>
      </w:r>
    </w:p>
    <w:p>
      <w:pPr>
        <w:pStyle w:val="3"/>
      </w:pPr>
      <w:bookmarkStart w:id="40" w:name="_Toc119856652"/>
      <w:bookmarkStart w:id="41" w:name="_Toc119856264"/>
      <w:bookmarkStart w:id="42" w:name="_Toc119835874"/>
      <w:bookmarkStart w:id="43" w:name="_Toc138888948"/>
      <w:bookmarkStart w:id="44" w:name="_Toc119843197"/>
      <w:bookmarkStart w:id="45" w:name="_Toc119849192"/>
      <w:r>
        <w:t>1.4规模认定</w:t>
      </w:r>
      <w:bookmarkEnd w:id="40"/>
      <w:bookmarkEnd w:id="41"/>
      <w:bookmarkEnd w:id="42"/>
      <w:bookmarkEnd w:id="43"/>
      <w:bookmarkEnd w:id="44"/>
      <w:bookmarkEnd w:id="45"/>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依据《山东省畜禽养殖管理办法》（鲁牧畜科发〔2017〕4号）、《山东省畜牧兽医局山东省环境保护厅关于畜禽养殖专业户标准等有关问题的复函》《鲁牧畜科发〔2017〕11号》、《山东省规模以下畜禽养殖污染防治和粪污资源化利用技术指南（试行）》（鲁牧畜发〔2021〕8号）及《畜禽养殖污染防治规划编制指南（试行）》（环办土壤函〔2021〕465号）的划定标准，规模化和专业户划定标准见表2-5。</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46" w:name="_Toc119856265"/>
      <w:bookmarkStart w:id="47" w:name="_Toc119849193"/>
      <w:bookmarkStart w:id="48" w:name="_Toc119843198"/>
      <w:bookmarkStart w:id="49" w:name="_Toc138888949"/>
      <w:bookmarkStart w:id="50" w:name="_Toc119835875"/>
      <w:bookmarkStart w:id="51" w:name="_Toc119856653"/>
      <w:r>
        <w:rPr>
          <w:rFonts w:ascii="Times New Roman" w:hAnsi="Times New Roman" w:eastAsia="方正仿宋简体"/>
          <w:color w:val="000000" w:themeColor="text1"/>
          <w14:textFill>
            <w14:solidFill>
              <w14:schemeClr w14:val="tx1"/>
            </w14:solidFill>
          </w14:textFill>
        </w:rPr>
        <w:t>1.4.1畜禽规模养殖场</w:t>
      </w:r>
      <w:bookmarkEnd w:id="46"/>
      <w:bookmarkEnd w:id="47"/>
      <w:bookmarkEnd w:id="48"/>
      <w:bookmarkEnd w:id="49"/>
      <w:bookmarkEnd w:id="50"/>
      <w:bookmarkEnd w:id="51"/>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畜禽规模养殖场：是指具有独立法人资格，养殖规模较大、饲养和防疫设施完善和集约化饲养水平较高的畜禽养殖企业。</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山东省畜禽养殖管理办法》(2021年2月7日山东省人民政府令第340号第二次修订)，畜禽养殖场、养殖小区设计规模达到下列标准的，畜禽养殖者应当将养殖场、养殖小区的名称、地址、畜禽品种和养殖规模，向所在地县级人民政府农业农村(畜牧兽医)主管部门备案：生猪年出栏500头以上；肉鸡年出栏40000只以上；肉鸭年出栏50000只以上；蛋鸡/蛋鸭存栏10000只以上；奶牛存栏100头以上；肉牛年出栏100头以上；肉羊年出栏500只以上；兔存栏3000只以上。</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52" w:name="_Toc119843199"/>
      <w:bookmarkStart w:id="53" w:name="_Toc119835876"/>
      <w:bookmarkStart w:id="54" w:name="_Toc119849194"/>
      <w:bookmarkStart w:id="55" w:name="_Toc119856654"/>
      <w:bookmarkStart w:id="56" w:name="_Toc119856266"/>
      <w:bookmarkStart w:id="57" w:name="_Toc138888950"/>
      <w:r>
        <w:rPr>
          <w:rFonts w:ascii="Times New Roman" w:hAnsi="Times New Roman" w:eastAsia="方正仿宋简体"/>
          <w:color w:val="000000" w:themeColor="text1"/>
          <w14:textFill>
            <w14:solidFill>
              <w14:schemeClr w14:val="tx1"/>
            </w14:solidFill>
          </w14:textFill>
        </w:rPr>
        <w:t>1.4.</w:t>
      </w:r>
      <w:bookmarkEnd w:id="52"/>
      <w:bookmarkEnd w:id="53"/>
      <w:bookmarkEnd w:id="54"/>
      <w:bookmarkEnd w:id="55"/>
      <w:bookmarkEnd w:id="56"/>
      <w:r>
        <w:rPr>
          <w:rFonts w:ascii="Times New Roman" w:hAnsi="Times New Roman" w:eastAsia="方正仿宋简体"/>
          <w:color w:val="000000" w:themeColor="text1"/>
          <w14:textFill>
            <w14:solidFill>
              <w14:schemeClr w14:val="tx1"/>
            </w14:solidFill>
          </w14:textFill>
        </w:rPr>
        <w:t>2规模以下养殖户</w:t>
      </w:r>
      <w:bookmarkEnd w:id="57"/>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按照《山东省规模以下畜禽养殖污染防治和粪污资源化利用技术指南（试行）》（鲁牧畜发〔2021〕8号），畜禽养殖专业户规模为50头＜生猪出栏量＜500头、5头＜奶牛存栏量＜100头、10头＜肉牛出栏量＜100头、500只＜蛋鸡存栏量＜10000只、2000只＜肉鸡出栏量＜40000只、50头＜羊出栏量＜500头、500只＜蛋鸭存栏量＜10000只、2000只＜肉鸭出栏量＜50000只、300只＜兔出栏量＜3000只，蛋鸡/鸭/鹅设计存栏&gt;500羽，肉鸡/鸭/鹅设计出栏&gt;2000羽的养殖户。其他为散养户。</w:t>
      </w:r>
    </w:p>
    <w:p>
      <w:pPr>
        <w:spacing w:line="560" w:lineRule="exact"/>
        <w:rPr>
          <w:rFonts w:ascii="Times New Roman" w:hAnsi="Times New Roman" w:eastAsia="方正仿宋简体"/>
          <w:color w:val="000000" w:themeColor="text1"/>
          <w:sz w:val="32"/>
          <w:szCs w:val="32"/>
          <w14:textFill>
            <w14:solidFill>
              <w14:schemeClr w14:val="tx1"/>
            </w14:solidFill>
          </w14:textFill>
        </w:rPr>
      </w:pPr>
    </w:p>
    <w:p>
      <w:pPr>
        <w:spacing w:line="560" w:lineRule="exact"/>
        <w:rPr>
          <w:rFonts w:ascii="Times New Roman" w:hAnsi="Times New Roman" w:eastAsia="方正仿宋简体"/>
          <w:color w:val="000000" w:themeColor="text1"/>
          <w:sz w:val="32"/>
          <w:szCs w:val="32"/>
          <w14:textFill>
            <w14:solidFill>
              <w14:schemeClr w14:val="tx1"/>
            </w14:solidFill>
          </w14:textFill>
        </w:rPr>
      </w:pPr>
    </w:p>
    <w:p>
      <w:pPr>
        <w:spacing w:line="560" w:lineRule="exact"/>
        <w:rPr>
          <w:rFonts w:ascii="Times New Roman" w:hAnsi="Times New Roman" w:eastAsia="方正仿宋简体"/>
          <w:color w:val="000000" w:themeColor="text1"/>
          <w:sz w:val="32"/>
          <w:szCs w:val="32"/>
          <w14:textFill>
            <w14:solidFill>
              <w14:schemeClr w14:val="tx1"/>
            </w14:solidFill>
          </w14:textFill>
        </w:rPr>
      </w:pPr>
    </w:p>
    <w:p>
      <w:pPr>
        <w:spacing w:line="560" w:lineRule="exact"/>
        <w:rPr>
          <w:rFonts w:ascii="Times New Roman" w:hAnsi="Times New Roman" w:eastAsia="方正仿宋简体"/>
          <w:color w:val="000000" w:themeColor="text1"/>
          <w:sz w:val="32"/>
          <w:szCs w:val="32"/>
          <w14:textFill>
            <w14:solidFill>
              <w14:schemeClr w14:val="tx1"/>
            </w14:solidFill>
          </w14:textFill>
        </w:rPr>
      </w:pPr>
    </w:p>
    <w:p>
      <w:pPr>
        <w:spacing w:line="560" w:lineRule="exact"/>
        <w:rPr>
          <w:rFonts w:ascii="Times New Roman" w:hAnsi="Times New Roman" w:eastAsia="方正仿宋简体"/>
          <w:color w:val="000000" w:themeColor="text1"/>
          <w:sz w:val="32"/>
          <w:szCs w:val="32"/>
          <w14:textFill>
            <w14:solidFill>
              <w14:schemeClr w14:val="tx1"/>
            </w14:solidFill>
          </w14:textFill>
        </w:rPr>
      </w:pPr>
    </w:p>
    <w:p>
      <w:pPr>
        <w:spacing w:line="560" w:lineRule="exact"/>
        <w:rPr>
          <w:rFonts w:ascii="Times New Roman" w:hAnsi="Times New Roman" w:eastAsia="方正仿宋简体"/>
          <w:color w:val="000000" w:themeColor="text1"/>
          <w:sz w:val="32"/>
          <w:szCs w:val="32"/>
          <w14:textFill>
            <w14:solidFill>
              <w14:schemeClr w14:val="tx1"/>
            </w14:solidFill>
          </w14:textFill>
        </w:rPr>
      </w:pPr>
    </w:p>
    <w:p>
      <w:pPr>
        <w:spacing w:line="560" w:lineRule="exact"/>
        <w:rPr>
          <w:rFonts w:ascii="Times New Roman" w:hAnsi="Times New Roman" w:eastAsia="方正仿宋简体"/>
          <w:color w:val="000000" w:themeColor="text1"/>
          <w:sz w:val="32"/>
          <w:szCs w:val="32"/>
          <w14:textFill>
            <w14:solidFill>
              <w14:schemeClr w14:val="tx1"/>
            </w14:solidFill>
          </w14:textFill>
        </w:rPr>
      </w:pPr>
    </w:p>
    <w:p>
      <w:pPr>
        <w:pStyle w:val="60"/>
        <w:spacing w:line="560" w:lineRule="exact"/>
        <w:ind w:firstLine="0" w:firstLineChars="0"/>
        <w:jc w:val="center"/>
        <w:rPr>
          <w:rFonts w:ascii="Times New Roman" w:hAnsi="Times New Roman" w:eastAsia="方正仿宋简体"/>
          <w:b/>
          <w:bCs/>
          <w:sz w:val="32"/>
          <w:szCs w:val="32"/>
        </w:rPr>
      </w:pPr>
      <w:r>
        <w:rPr>
          <w:rFonts w:ascii="Times New Roman" w:hAnsi="Times New Roman" w:eastAsia="方正仿宋简体"/>
          <w:b/>
          <w:bCs/>
          <w:sz w:val="32"/>
          <w:szCs w:val="32"/>
        </w:rPr>
        <w:t>表</w:t>
      </w:r>
      <w:r>
        <w:rPr>
          <w:rFonts w:hint="eastAsia" w:ascii="Times New Roman" w:hAnsi="Times New Roman" w:eastAsia="方正仿宋简体"/>
          <w:b/>
          <w:bCs/>
          <w:sz w:val="32"/>
          <w:szCs w:val="32"/>
        </w:rPr>
        <w:t>1.4-1</w:t>
      </w:r>
      <w:r>
        <w:rPr>
          <w:rFonts w:ascii="Times New Roman" w:hAnsi="Times New Roman" w:eastAsia="方正仿宋简体"/>
          <w:b/>
          <w:bCs/>
          <w:sz w:val="32"/>
          <w:szCs w:val="32"/>
        </w:rPr>
        <w:t xml:space="preserve"> 规模化和专业户界定标准</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2"/>
        <w:gridCol w:w="2947"/>
        <w:gridCol w:w="4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pct"/>
            <w:vAlign w:val="center"/>
          </w:tcPr>
          <w:p>
            <w:pPr>
              <w:widowControl/>
              <w:spacing w:line="560" w:lineRule="exact"/>
              <w:jc w:val="center"/>
              <w:textAlignment w:val="center"/>
              <w:rPr>
                <w:rFonts w:ascii="Times New Roman" w:hAnsi="Times New Roman" w:eastAsia="方正仿宋简体"/>
                <w:b/>
                <w:bCs/>
                <w:kern w:val="0"/>
                <w:sz w:val="30"/>
                <w:szCs w:val="30"/>
                <w:lang w:bidi="ar"/>
              </w:rPr>
            </w:pPr>
            <w:r>
              <w:rPr>
                <w:rFonts w:ascii="Times New Roman" w:hAnsi="Times New Roman" w:eastAsia="方正仿宋简体"/>
                <w:b/>
                <w:bCs/>
                <w:kern w:val="0"/>
                <w:sz w:val="30"/>
                <w:szCs w:val="30"/>
                <w:lang w:bidi="ar"/>
              </w:rPr>
              <w:t>畜禽种类</w:t>
            </w:r>
          </w:p>
        </w:tc>
        <w:tc>
          <w:tcPr>
            <w:tcW w:w="1647" w:type="pct"/>
            <w:vAlign w:val="center"/>
          </w:tcPr>
          <w:p>
            <w:pPr>
              <w:widowControl/>
              <w:spacing w:line="560" w:lineRule="exact"/>
              <w:jc w:val="center"/>
              <w:textAlignment w:val="center"/>
              <w:rPr>
                <w:rFonts w:ascii="Times New Roman" w:hAnsi="Times New Roman" w:eastAsia="方正仿宋简体"/>
                <w:b/>
                <w:bCs/>
                <w:kern w:val="0"/>
                <w:sz w:val="30"/>
                <w:szCs w:val="30"/>
                <w:lang w:bidi="ar"/>
              </w:rPr>
            </w:pPr>
            <w:r>
              <w:rPr>
                <w:rFonts w:ascii="Times New Roman" w:hAnsi="Times New Roman" w:eastAsia="方正仿宋简体"/>
                <w:b/>
                <w:bCs/>
                <w:kern w:val="0"/>
                <w:sz w:val="30"/>
                <w:szCs w:val="30"/>
                <w:lang w:bidi="ar"/>
              </w:rPr>
              <w:t>规模化</w:t>
            </w:r>
          </w:p>
        </w:tc>
        <w:tc>
          <w:tcPr>
            <w:tcW w:w="2360" w:type="pct"/>
            <w:vAlign w:val="center"/>
          </w:tcPr>
          <w:p>
            <w:pPr>
              <w:widowControl/>
              <w:spacing w:line="560" w:lineRule="exact"/>
              <w:jc w:val="center"/>
              <w:textAlignment w:val="center"/>
              <w:rPr>
                <w:rFonts w:ascii="Times New Roman" w:hAnsi="Times New Roman" w:eastAsia="方正仿宋简体"/>
                <w:b/>
                <w:bCs/>
                <w:kern w:val="0"/>
                <w:sz w:val="30"/>
                <w:szCs w:val="30"/>
                <w:lang w:bidi="ar"/>
              </w:rPr>
            </w:pPr>
            <w:r>
              <w:rPr>
                <w:rFonts w:ascii="Times New Roman" w:hAnsi="Times New Roman" w:eastAsia="方正仿宋简体"/>
                <w:b/>
                <w:bCs/>
                <w:kern w:val="0"/>
                <w:sz w:val="30"/>
                <w:szCs w:val="30"/>
                <w:lang w:bidi="ar"/>
              </w:rPr>
              <w:t>专业户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生猪</w:t>
            </w:r>
          </w:p>
        </w:tc>
        <w:tc>
          <w:tcPr>
            <w:tcW w:w="1647"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出栏量≥500头</w:t>
            </w:r>
          </w:p>
        </w:tc>
        <w:tc>
          <w:tcPr>
            <w:tcW w:w="2360"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50头≤出栏量&lt;500头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奶牛</w:t>
            </w:r>
          </w:p>
        </w:tc>
        <w:tc>
          <w:tcPr>
            <w:tcW w:w="1647"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存栏量≥100头</w:t>
            </w:r>
          </w:p>
        </w:tc>
        <w:tc>
          <w:tcPr>
            <w:tcW w:w="2360"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5头≤存栏量&lt;100头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肉牛</w:t>
            </w:r>
          </w:p>
        </w:tc>
        <w:tc>
          <w:tcPr>
            <w:tcW w:w="1647"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出栏量≥100头</w:t>
            </w:r>
          </w:p>
        </w:tc>
        <w:tc>
          <w:tcPr>
            <w:tcW w:w="2360"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10头≤出栏量&lt;100头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蛋鸡/蛋鸭</w:t>
            </w:r>
          </w:p>
        </w:tc>
        <w:tc>
          <w:tcPr>
            <w:tcW w:w="1647"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存栏量≥10000羽</w:t>
            </w:r>
          </w:p>
        </w:tc>
        <w:tc>
          <w:tcPr>
            <w:tcW w:w="2360"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500羽≤存栏量&lt;10000羽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肉鸡</w:t>
            </w:r>
          </w:p>
        </w:tc>
        <w:tc>
          <w:tcPr>
            <w:tcW w:w="1647"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出栏量≥40000羽</w:t>
            </w:r>
          </w:p>
        </w:tc>
        <w:tc>
          <w:tcPr>
            <w:tcW w:w="2360"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2000羽≤出栏量&lt;40000羽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肉鸭</w:t>
            </w:r>
          </w:p>
        </w:tc>
        <w:tc>
          <w:tcPr>
            <w:tcW w:w="1647"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出栏量≥50000羽</w:t>
            </w:r>
          </w:p>
        </w:tc>
        <w:tc>
          <w:tcPr>
            <w:tcW w:w="2360"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2000羽≤出栏量&lt;50000羽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鹅</w:t>
            </w:r>
          </w:p>
        </w:tc>
        <w:tc>
          <w:tcPr>
            <w:tcW w:w="1647"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出栏量≥100000羽</w:t>
            </w:r>
          </w:p>
        </w:tc>
        <w:tc>
          <w:tcPr>
            <w:tcW w:w="2360"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4000羽≤出栏量&lt;100000羽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羊</w:t>
            </w:r>
          </w:p>
        </w:tc>
        <w:tc>
          <w:tcPr>
            <w:tcW w:w="1647"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出栏量≥500只</w:t>
            </w:r>
          </w:p>
        </w:tc>
        <w:tc>
          <w:tcPr>
            <w:tcW w:w="2360" w:type="pct"/>
            <w:vAlign w:val="center"/>
          </w:tcPr>
          <w:p>
            <w:pPr>
              <w:widowControl/>
              <w:spacing w:line="560" w:lineRule="exact"/>
              <w:jc w:val="center"/>
              <w:textAlignment w:val="center"/>
              <w:rPr>
                <w:rFonts w:ascii="Times New Roman" w:hAnsi="Times New Roman" w:eastAsia="方正仿宋简体"/>
                <w:kern w:val="0"/>
                <w:sz w:val="28"/>
                <w:szCs w:val="30"/>
                <w:lang w:bidi="ar"/>
              </w:rPr>
            </w:pPr>
            <w:r>
              <w:rPr>
                <w:rFonts w:ascii="Times New Roman" w:hAnsi="Times New Roman" w:eastAsia="方正仿宋简体"/>
                <w:kern w:val="0"/>
                <w:sz w:val="28"/>
                <w:szCs w:val="30"/>
                <w:lang w:bidi="ar"/>
              </w:rPr>
              <w:t>50只≤出栏量&lt;500只</w:t>
            </w:r>
          </w:p>
        </w:tc>
      </w:tr>
    </w:tbl>
    <w:p>
      <w:pPr>
        <w:spacing w:line="560" w:lineRule="exact"/>
        <w:ind w:firstLine="640" w:firstLineChars="200"/>
        <w:rPr>
          <w:rFonts w:ascii="Times New Roman" w:hAnsi="Times New Roman" w:eastAsia="方正仿宋简体"/>
          <w:color w:val="000000" w:themeColor="text1"/>
          <w:kern w:val="0"/>
          <w:sz w:val="32"/>
          <w:szCs w:val="32"/>
          <w14:textFill>
            <w14:solidFill>
              <w14:schemeClr w14:val="tx1"/>
            </w14:solidFill>
          </w14:textFill>
        </w:rPr>
        <w:sectPr>
          <w:headerReference r:id="rId5" w:type="default"/>
          <w:footerReference r:id="rId6" w:type="default"/>
          <w:pgSz w:w="11906" w:h="16838"/>
          <w:pgMar w:top="2098" w:right="1588" w:bottom="2098" w:left="1588" w:header="851" w:footer="567" w:gutter="0"/>
          <w:pgNumType w:start="1"/>
          <w:cols w:space="425" w:num="1"/>
          <w:docGrid w:type="lines" w:linePitch="312" w:charSpace="0"/>
        </w:sectPr>
      </w:pPr>
    </w:p>
    <w:p>
      <w:pPr>
        <w:pStyle w:val="2"/>
        <w:spacing w:before="0" w:after="0" w:line="560" w:lineRule="exact"/>
        <w:jc w:val="left"/>
        <w:rPr>
          <w:rFonts w:ascii="Times New Roman" w:hAnsi="Times New Roman" w:eastAsia="方正黑体简体"/>
          <w:b w:val="0"/>
          <w:color w:val="000000" w:themeColor="text1"/>
          <w:sz w:val="32"/>
          <w:szCs w:val="32"/>
          <w14:textFill>
            <w14:solidFill>
              <w14:schemeClr w14:val="tx1"/>
            </w14:solidFill>
          </w14:textFill>
        </w:rPr>
      </w:pPr>
      <w:bookmarkStart w:id="58" w:name="_Toc119849195"/>
      <w:bookmarkStart w:id="59" w:name="_Toc119843200"/>
      <w:bookmarkStart w:id="60" w:name="_Toc119835877"/>
      <w:bookmarkStart w:id="61" w:name="_Toc119856655"/>
      <w:bookmarkStart w:id="62" w:name="_Toc119856267"/>
      <w:bookmarkStart w:id="63" w:name="_Toc138888951"/>
      <w:r>
        <w:rPr>
          <w:rFonts w:ascii="Times New Roman" w:hAnsi="Times New Roman" w:eastAsia="方正黑体简体"/>
          <w:b w:val="0"/>
          <w:color w:val="000000" w:themeColor="text1"/>
          <w:sz w:val="32"/>
          <w:szCs w:val="32"/>
          <w14:textFill>
            <w14:solidFill>
              <w14:schemeClr w14:val="tx1"/>
            </w14:solidFill>
          </w14:textFill>
        </w:rPr>
        <w:t>2区域概况</w:t>
      </w:r>
      <w:bookmarkEnd w:id="58"/>
      <w:bookmarkEnd w:id="59"/>
      <w:bookmarkEnd w:id="60"/>
      <w:bookmarkEnd w:id="61"/>
      <w:bookmarkEnd w:id="62"/>
      <w:bookmarkEnd w:id="63"/>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济宁太白湖新区，位于济宁城市南部，2008年2月批准设立，行政辖区总面积约133平方公里，下辖石桥镇和许庄街道，64个村居，总人口12万。新区南接微山湖，北靠老城区，泗河、京杭大运河双河环抱，老运河、</w:t>
      </w:r>
      <w:r>
        <w:rPr>
          <w:rFonts w:ascii="Times New Roman" w:hAnsi="Times New Roman"/>
          <w:color w:val="000000" w:themeColor="text1"/>
          <w:sz w:val="32"/>
          <w:szCs w:val="32"/>
          <w14:textFill>
            <w14:solidFill>
              <w14:schemeClr w14:val="tx1"/>
            </w14:solidFill>
          </w14:textFill>
        </w:rPr>
        <w:t>洸</w:t>
      </w:r>
      <w:r>
        <w:rPr>
          <w:rFonts w:ascii="Times New Roman" w:hAnsi="Times New Roman" w:eastAsia="方正仿宋简体"/>
          <w:color w:val="000000" w:themeColor="text1"/>
          <w:sz w:val="32"/>
          <w:szCs w:val="32"/>
          <w14:textFill>
            <w14:solidFill>
              <w14:schemeClr w14:val="tx1"/>
            </w14:solidFill>
          </w14:textFill>
        </w:rPr>
        <w:t>府河穿境而过，地势开阔，区位优越，生态资源得天独厚，自然景观美景天成。</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 xml:space="preserve"> 太白湖新区功能定位为济宁市“行政商务中心、科教文化基地、休闲度假圣地、生态宜居新城”，是未来济宁城市的主中心。周边京福、济徐、日东高速公路以及104、105、327等国道纵横交错，四通八达；京沪、京九、新石3条铁路线交汇贯通，京沪高速铁路在济宁曲阜设有站点；京杭大运河通达南北；济宁曲阜机场已开通至北京、上海、广州、成都、沈阳、昆明、大连、哈尔滨、无锡、深圳、西安等多条航线，“水、陆、空”立体交通网络已经形成。</w:t>
      </w:r>
    </w:p>
    <w:p>
      <w:pPr>
        <w:pStyle w:val="3"/>
      </w:pPr>
      <w:bookmarkStart w:id="64" w:name="_Toc119843201"/>
      <w:bookmarkStart w:id="65" w:name="_Toc119856656"/>
      <w:bookmarkStart w:id="66" w:name="_Toc119835878"/>
      <w:bookmarkStart w:id="67" w:name="_Toc138888952"/>
      <w:bookmarkStart w:id="68" w:name="_Toc119849196"/>
      <w:bookmarkStart w:id="69" w:name="_Toc119856268"/>
      <w:r>
        <w:t>2.1自然气候条件</w:t>
      </w:r>
      <w:bookmarkEnd w:id="64"/>
      <w:bookmarkEnd w:id="65"/>
      <w:bookmarkEnd w:id="66"/>
      <w:bookmarkEnd w:id="67"/>
      <w:bookmarkEnd w:id="68"/>
      <w:bookmarkEnd w:id="69"/>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70" w:name="_Toc119843202"/>
      <w:bookmarkStart w:id="71" w:name="_Toc119835879"/>
      <w:bookmarkStart w:id="72" w:name="_Toc119856269"/>
      <w:bookmarkStart w:id="73" w:name="_Toc119849197"/>
      <w:bookmarkStart w:id="74" w:name="_Toc119856657"/>
      <w:bookmarkStart w:id="75" w:name="_Toc138888953"/>
      <w:r>
        <w:rPr>
          <w:rFonts w:ascii="Times New Roman" w:hAnsi="Times New Roman" w:eastAsia="方正仿宋简体"/>
          <w:color w:val="000000" w:themeColor="text1"/>
          <w14:textFill>
            <w14:solidFill>
              <w14:schemeClr w14:val="tx1"/>
            </w14:solidFill>
          </w14:textFill>
        </w:rPr>
        <w:t>2.1.1地形地貌</w:t>
      </w:r>
      <w:bookmarkEnd w:id="70"/>
      <w:bookmarkEnd w:id="71"/>
      <w:bookmarkEnd w:id="72"/>
      <w:bookmarkEnd w:id="73"/>
      <w:bookmarkEnd w:id="74"/>
      <w:bookmarkEnd w:id="75"/>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本地区境内地层均系第四纪上组松散沉积物堆积。老运河以东为汶泗山麓冲积层：以西100m以上为黄河冲积物，其下为巨厚的粘土物质，系湖相沉积物或山麓冲积平原前缘堆积。90m以内沙层较为普遍集中，多为2~4个含水组，沙层累计厚度一般4.7~25m之间。其中以许庄街道较厚，在9~25m之间。滨湖地区较薄，在1.5~3m之间，最大厚度达8m。含水层以中细沙为主，最上层埋深不大于15m，沙层颗粒具有上细下粗，南细北粗的特点。</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地貌以平原为主。南四湖脱沼泽化而形成的滨湖洼地。境内平原海拔高程在33~43m（东、北、西三面高，中南部低），至高点在长沟镇的张山玉皇顶，海拔高程85.4m；最低处在南阳湖底，海拔高程32.5m。湖东为河漫滩向湖盆的过渡段，东高西低向湖心倾斜，坡降在1/1000~1/3000之间，其表土母质为湖相沉积物。湖西部为黄泛平原区，地面开阔，西高东低倾向于湖，坡降在1/3500~1/7000之间，其表土母质为黄泛冲击物及湖相沉积物。湖北部系倾斜平原向湖的过渡段，微地形变化较大，坡降在l/1500左右，其表土母质为山麓冲积物。</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根据境内地形地貌的特征，是南部、中部浅平洼地及湖地，高程33~36m，发育着潮土和水稻土。岗地发育着褐土，洼地为砂姜黑土。</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区域地形地貌见图2.1-1。</w:t>
      </w:r>
    </w:p>
    <w:p>
      <w:pPr>
        <w:spacing w:line="360" w:lineRule="auto"/>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snapToGrid w:val="0"/>
          <w:sz w:val="32"/>
          <w:szCs w:val="32"/>
        </w:rPr>
        <w:drawing>
          <wp:anchor distT="0" distB="0" distL="114300" distR="114300" simplePos="0" relativeHeight="251659264" behindDoc="0" locked="0" layoutInCell="1" allowOverlap="1">
            <wp:simplePos x="0" y="0"/>
            <wp:positionH relativeFrom="column">
              <wp:posOffset>4377055</wp:posOffset>
            </wp:positionH>
            <wp:positionV relativeFrom="paragraph">
              <wp:posOffset>24130</wp:posOffset>
            </wp:positionV>
            <wp:extent cx="958850" cy="909955"/>
            <wp:effectExtent l="19050" t="19050" r="12700" b="23495"/>
            <wp:wrapNone/>
            <wp:docPr id="16" name="图片 16" descr="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X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58850" cy="909955"/>
                    </a:xfrm>
                    <a:prstGeom prst="rect">
                      <a:avLst/>
                    </a:prstGeom>
                    <a:noFill/>
                    <a:ln w="12700">
                      <a:solidFill>
                        <a:srgbClr val="000000"/>
                      </a:solidFill>
                      <a:round/>
                    </a:ln>
                  </pic:spPr>
                </pic:pic>
              </a:graphicData>
            </a:graphic>
          </wp:anchor>
        </w:drawing>
      </w:r>
      <w:r>
        <w:rPr>
          <w:rFonts w:ascii="Times New Roman" w:hAnsi="Times New Roman" w:eastAsia="方正仿宋简体"/>
          <w:color w:val="000000"/>
          <w:sz w:val="32"/>
          <w:szCs w:val="32"/>
        </w:rPr>
        <w:drawing>
          <wp:inline distT="0" distB="0" distL="0" distR="0">
            <wp:extent cx="5274310" cy="6779895"/>
            <wp:effectExtent l="0" t="0" r="2540" b="1905"/>
            <wp:docPr id="70" name="图片 22" descr="济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2" descr="济宁"/>
                    <pic:cNvPicPr>
                      <a:picLocks noChangeAspect="1" noChangeArrowheads="1"/>
                    </pic:cNvPicPr>
                  </pic:nvPicPr>
                  <pic:blipFill>
                    <a:blip r:embed="rId18" cstate="print"/>
                    <a:srcRect b="1842"/>
                    <a:stretch>
                      <a:fillRect/>
                    </a:stretch>
                  </pic:blipFill>
                  <pic:spPr>
                    <a:xfrm>
                      <a:off x="0" y="0"/>
                      <a:ext cx="5274310" cy="6779895"/>
                    </a:xfrm>
                    <a:prstGeom prst="rect">
                      <a:avLst/>
                    </a:prstGeom>
                    <a:noFill/>
                    <a:ln w="9525">
                      <a:noFill/>
                      <a:miter lim="800000"/>
                      <a:headEnd/>
                      <a:tailEnd/>
                    </a:ln>
                  </pic:spPr>
                </pic:pic>
              </a:graphicData>
            </a:graphic>
          </wp:inline>
        </w:drawing>
      </w:r>
    </w:p>
    <w:p>
      <w:pPr>
        <w:spacing w:line="560" w:lineRule="exact"/>
        <w:ind w:firstLine="643" w:firstLineChars="200"/>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图2.1-1</w:t>
      </w:r>
      <w:r>
        <w:rPr>
          <w:rFonts w:ascii="Times New Roman" w:hAnsi="Times New Roman" w:eastAsia="方正仿宋简体"/>
          <w:b/>
          <w:bCs/>
          <w:sz w:val="32"/>
          <w:szCs w:val="32"/>
        </w:rPr>
        <w:t>济宁市地貌略图</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76" w:name="_Toc119849198"/>
      <w:bookmarkStart w:id="77" w:name="_Toc119856270"/>
      <w:bookmarkStart w:id="78" w:name="_Toc119856658"/>
      <w:bookmarkStart w:id="79" w:name="_Toc119843203"/>
      <w:bookmarkStart w:id="80" w:name="_Toc119835880"/>
      <w:bookmarkStart w:id="81" w:name="_Toc138888954"/>
      <w:r>
        <w:rPr>
          <w:rFonts w:ascii="Times New Roman" w:hAnsi="Times New Roman" w:eastAsia="方正仿宋简体"/>
          <w:color w:val="000000" w:themeColor="text1"/>
          <w14:textFill>
            <w14:solidFill>
              <w14:schemeClr w14:val="tx1"/>
            </w14:solidFill>
          </w14:textFill>
        </w:rPr>
        <w:t>2.1.2</w:t>
      </w:r>
      <w:bookmarkEnd w:id="76"/>
      <w:bookmarkEnd w:id="77"/>
      <w:bookmarkEnd w:id="78"/>
      <w:bookmarkEnd w:id="79"/>
      <w:bookmarkEnd w:id="80"/>
      <w:r>
        <w:rPr>
          <w:rFonts w:ascii="Times New Roman" w:hAnsi="Times New Roman" w:eastAsia="方正仿宋简体"/>
          <w:color w:val="000000" w:themeColor="text1"/>
          <w14:textFill>
            <w14:solidFill>
              <w14:schemeClr w14:val="tx1"/>
            </w14:solidFill>
          </w14:textFill>
        </w:rPr>
        <w:t>气候气象</w:t>
      </w:r>
      <w:bookmarkEnd w:id="81"/>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太白湖新区属暖温带大陆性季风气候区。四季分明、光照充足、雨热同季、降水集中、干湿交替、无霜期长。春季多南风，少雨多旱，气温回升快，季末高温，常出现干热风；夏季多东南风，天气炎热，降水集中，日照时间长，湿度大，有利于作物生长；秋季光照充足，昼夜温差大，东南风和西北风频繁互易，常出现秋旱和连阴雨；冬季多西南风，干旱雨雪多。</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气温：平均气温为13.5</w:t>
      </w:r>
      <w:r>
        <w:rPr>
          <w:rFonts w:hint="eastAsia" w:ascii="宋体" w:hAnsi="宋体" w:cs="宋体"/>
          <w:color w:val="000000" w:themeColor="text1"/>
          <w:sz w:val="32"/>
          <w:szCs w:val="32"/>
          <w14:textFill>
            <w14:solidFill>
              <w14:schemeClr w14:val="tx1"/>
            </w14:solidFill>
          </w14:textFill>
        </w:rPr>
        <w:t>℃</w:t>
      </w:r>
      <w:r>
        <w:rPr>
          <w:rFonts w:ascii="Times New Roman" w:hAnsi="Times New Roman" w:eastAsia="方正仿宋简体"/>
          <w:color w:val="000000" w:themeColor="text1"/>
          <w:sz w:val="32"/>
          <w:szCs w:val="32"/>
          <w14:textFill>
            <w14:solidFill>
              <w14:schemeClr w14:val="tx1"/>
            </w14:solidFill>
          </w14:textFill>
        </w:rPr>
        <w:t>；平均最高气温为19.4</w:t>
      </w:r>
      <w:r>
        <w:rPr>
          <w:rFonts w:hint="eastAsia" w:ascii="宋体" w:hAnsi="宋体" w:cs="宋体"/>
          <w:color w:val="000000" w:themeColor="text1"/>
          <w:sz w:val="32"/>
          <w:szCs w:val="32"/>
          <w14:textFill>
            <w14:solidFill>
              <w14:schemeClr w14:val="tx1"/>
            </w14:solidFill>
          </w14:textFill>
        </w:rPr>
        <w:t>℃</w:t>
      </w:r>
      <w:r>
        <w:rPr>
          <w:rFonts w:ascii="Times New Roman" w:hAnsi="Times New Roman" w:eastAsia="方正仿宋简体"/>
          <w:color w:val="000000" w:themeColor="text1"/>
          <w:sz w:val="32"/>
          <w:szCs w:val="32"/>
          <w14:textFill>
            <w14:solidFill>
              <w14:schemeClr w14:val="tx1"/>
            </w14:solidFill>
          </w14:textFill>
        </w:rPr>
        <w:t>；平均最低气温为8.3</w:t>
      </w:r>
      <w:r>
        <w:rPr>
          <w:rFonts w:hint="eastAsia" w:ascii="宋体" w:hAnsi="宋体" w:cs="宋体"/>
          <w:color w:val="000000" w:themeColor="text1"/>
          <w:sz w:val="32"/>
          <w:szCs w:val="32"/>
          <w14:textFill>
            <w14:solidFill>
              <w14:schemeClr w14:val="tx1"/>
            </w14:solidFill>
          </w14:textFill>
        </w:rPr>
        <w:t>℃</w:t>
      </w:r>
      <w:r>
        <w:rPr>
          <w:rFonts w:ascii="Times New Roman" w:hAnsi="Times New Roman" w:eastAsia="方正仿宋简体"/>
          <w:color w:val="000000" w:themeColor="text1"/>
          <w:sz w:val="32"/>
          <w:szCs w:val="32"/>
          <w14:textFill>
            <w14:solidFill>
              <w14:schemeClr w14:val="tx1"/>
            </w14:solidFill>
          </w14:textFill>
        </w:rPr>
        <w:t>；极端最高气温为42.5</w:t>
      </w:r>
      <w:r>
        <w:rPr>
          <w:rFonts w:hint="eastAsia" w:ascii="宋体" w:hAnsi="宋体" w:cs="宋体"/>
          <w:color w:val="000000" w:themeColor="text1"/>
          <w:sz w:val="32"/>
          <w:szCs w:val="32"/>
          <w14:textFill>
            <w14:solidFill>
              <w14:schemeClr w14:val="tx1"/>
            </w14:solidFill>
          </w14:textFill>
        </w:rPr>
        <w:t>℃</w:t>
      </w:r>
      <w:r>
        <w:rPr>
          <w:rFonts w:ascii="Times New Roman" w:hAnsi="Times New Roman" w:eastAsia="方正仿宋简体"/>
          <w:color w:val="000000" w:themeColor="text1"/>
          <w:sz w:val="32"/>
          <w:szCs w:val="32"/>
          <w14:textFill>
            <w14:solidFill>
              <w14:schemeClr w14:val="tx1"/>
            </w14:solidFill>
          </w14:textFill>
        </w:rPr>
        <w:t>，发生于1966年7月19日；极端最低气温为－18.1</w:t>
      </w:r>
      <w:r>
        <w:rPr>
          <w:rFonts w:hint="eastAsia" w:ascii="宋体" w:hAnsi="宋体" w:cs="宋体"/>
          <w:color w:val="000000" w:themeColor="text1"/>
          <w:sz w:val="32"/>
          <w:szCs w:val="32"/>
          <w14:textFill>
            <w14:solidFill>
              <w14:schemeClr w14:val="tx1"/>
            </w14:solidFill>
          </w14:textFill>
        </w:rPr>
        <w:t>℃</w:t>
      </w:r>
      <w:r>
        <w:rPr>
          <w:rFonts w:ascii="Times New Roman" w:hAnsi="Times New Roman" w:eastAsia="方正仿宋简体"/>
          <w:color w:val="000000" w:themeColor="text1"/>
          <w:sz w:val="32"/>
          <w:szCs w:val="32"/>
          <w14:textFill>
            <w14:solidFill>
              <w14:schemeClr w14:val="tx1"/>
            </w14:solidFill>
          </w14:textFill>
        </w:rPr>
        <w:t>，发生于1970年1月5日。</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降水量：平均降水量为622.1mm；最大降水量为1394.8mm，发生于1964年；最小降水量为285.6mm，发生于1966年；最大一日降水量为272.6mm，发生于1976年8月12日；最长连续降水日数为8天，相应的降水量为203.8mm，发生于1984年8月13日～8月20日。</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空气湿度：平均相对湿度为70％；最小相对湿度为1％，发生于1969年4月5日。</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气压：平均气压为1012.6hPa；平均最高气压为1014.8hPa；平均最低气压为1010.0hPa。</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蒸发量：平均蒸发量为1803.2mm；最大蒸发量为2362.0mm，发生于1969年；最小蒸发量为1425.4mm，发生于1964年。</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风速：平均风速为2.6m/s；最大风速为22.7m/s；全年主导风速为SSE。日照：年最多日照日数2596.4小时，发生于1995年。</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82" w:name="2.1.3_河流水系"/>
      <w:bookmarkEnd w:id="82"/>
      <w:bookmarkStart w:id="83" w:name="_Toc138888955"/>
      <w:r>
        <w:rPr>
          <w:rFonts w:ascii="Times New Roman" w:hAnsi="Times New Roman" w:eastAsia="方正仿宋简体"/>
          <w:color w:val="000000" w:themeColor="text1"/>
          <w14:textFill>
            <w14:solidFill>
              <w14:schemeClr w14:val="tx1"/>
            </w14:solidFill>
          </w14:textFill>
        </w:rPr>
        <w:t>2.1.3河流水系</w:t>
      </w:r>
      <w:bookmarkEnd w:id="83"/>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本地区主要河流有老运河、</w:t>
      </w:r>
      <w:r>
        <w:rPr>
          <w:rFonts w:ascii="Times New Roman" w:hAnsi="Times New Roman"/>
          <w:color w:val="000000" w:themeColor="text1"/>
          <w:sz w:val="32"/>
          <w:szCs w:val="32"/>
          <w14:textFill>
            <w14:solidFill>
              <w14:schemeClr w14:val="tx1"/>
            </w14:solidFill>
          </w14:textFill>
        </w:rPr>
        <w:t>洸</w:t>
      </w:r>
      <w:r>
        <w:rPr>
          <w:rFonts w:ascii="Times New Roman" w:hAnsi="Times New Roman" w:eastAsia="方正仿宋简体"/>
          <w:color w:val="000000" w:themeColor="text1"/>
          <w:sz w:val="32"/>
          <w:szCs w:val="32"/>
          <w14:textFill>
            <w14:solidFill>
              <w14:schemeClr w14:val="tx1"/>
            </w14:solidFill>
          </w14:textFill>
        </w:rPr>
        <w:t>府河、泗河和京杭运河，属于南四湖流域。该地区分为孔隙水、裂隙水和岩溶裂隙水三类。场地地下水属于第四系孔隙水，补给主要以降水为主，含水层上部潜水流向南四湖，与湖水互为补充。丰水期湖水补充地下水，枯水期地下水补充湖水。承压水丰富，水质良好。</w:t>
      </w:r>
    </w:p>
    <w:p>
      <w:pPr>
        <w:spacing w:line="560" w:lineRule="exact"/>
        <w:ind w:firstLine="640" w:firstLineChars="200"/>
        <w:rPr>
          <w:rFonts w:ascii="Times New Roman" w:hAnsi="Times New Roman" w:eastAsia="方正仿宋简体"/>
          <w:color w:val="000000"/>
          <w:sz w:val="32"/>
          <w:szCs w:val="32"/>
        </w:rPr>
      </w:pPr>
      <w:r>
        <w:rPr>
          <w:rFonts w:ascii="Times New Roman" w:hAnsi="Times New Roman" w:eastAsia="方正仿宋简体"/>
          <w:color w:val="000000"/>
          <w:sz w:val="32"/>
          <w:szCs w:val="32"/>
        </w:rPr>
        <w:t>（1）京杭运河</w:t>
      </w:r>
    </w:p>
    <w:p>
      <w:pPr>
        <w:spacing w:line="560" w:lineRule="exact"/>
        <w:ind w:firstLine="640" w:firstLineChars="200"/>
        <w:rPr>
          <w:rFonts w:ascii="Times New Roman" w:hAnsi="Times New Roman" w:eastAsia="方正仿宋简体"/>
          <w:color w:val="000000"/>
          <w:sz w:val="32"/>
          <w:szCs w:val="32"/>
        </w:rPr>
      </w:pPr>
      <w:r>
        <w:rPr>
          <w:rFonts w:ascii="Times New Roman" w:hAnsi="Times New Roman" w:eastAsia="方正仿宋简体"/>
          <w:color w:val="000000"/>
          <w:sz w:val="32"/>
          <w:szCs w:val="32"/>
        </w:rPr>
        <w:t>京杭运河济宁段一般称为梁济运河。梁济运河于1959-1960年开挖，北起黄河，南至任城区李集村入南阳湖，全长87.8km，流域面积3306km</w:t>
      </w:r>
      <w:r>
        <w:rPr>
          <w:rFonts w:ascii="Times New Roman" w:hAnsi="Times New Roman" w:eastAsia="方正仿宋简体"/>
          <w:color w:val="000000"/>
          <w:sz w:val="32"/>
          <w:szCs w:val="32"/>
          <w:vertAlign w:val="superscript"/>
        </w:rPr>
        <w:t>2</w:t>
      </w:r>
      <w:r>
        <w:rPr>
          <w:rFonts w:ascii="Times New Roman" w:hAnsi="Times New Roman" w:eastAsia="方正仿宋简体"/>
          <w:color w:val="000000"/>
          <w:sz w:val="32"/>
          <w:szCs w:val="32"/>
        </w:rPr>
        <w:t>，是一条具有防洪、除涝、引黄灌溉、航运等综合功能的大型河道，也是南水北调东线工程输水干线和黄河下游防洪设施的重要组成部分及北煤南运的黄金水道。梁济运河对沿岸地带孔隙水流场变化起着比较重要的作用，该河流速、流量与南四湖水位及上游人为活动有关，南四湖水位低时或上游黄河开闸放水时，京杭运河流速加快，流量增大；反之流速则较慢，流量也小。京杭运河在正常年份一般常年有水，多年平均流量约12.9m</w:t>
      </w:r>
      <w:r>
        <w:rPr>
          <w:rFonts w:ascii="Times New Roman" w:hAnsi="Times New Roman" w:eastAsia="方正仿宋简体"/>
          <w:color w:val="000000"/>
          <w:sz w:val="32"/>
          <w:szCs w:val="32"/>
          <w:vertAlign w:val="superscript"/>
        </w:rPr>
        <w:t>3</w:t>
      </w:r>
      <w:r>
        <w:rPr>
          <w:rFonts w:ascii="Times New Roman" w:hAnsi="Times New Roman" w:eastAsia="方正仿宋简体"/>
          <w:color w:val="000000"/>
          <w:sz w:val="32"/>
          <w:szCs w:val="32"/>
        </w:rPr>
        <w:t>/s，历时最大流量为626m</w:t>
      </w:r>
      <w:r>
        <w:rPr>
          <w:rFonts w:ascii="Times New Roman" w:hAnsi="Times New Roman" w:eastAsia="方正仿宋简体"/>
          <w:color w:val="000000"/>
          <w:sz w:val="32"/>
          <w:szCs w:val="32"/>
          <w:vertAlign w:val="superscript"/>
        </w:rPr>
        <w:t>3</w:t>
      </w:r>
      <w:r>
        <w:rPr>
          <w:rFonts w:ascii="Times New Roman" w:hAnsi="Times New Roman" w:eastAsia="方正仿宋简体"/>
          <w:color w:val="000000"/>
          <w:sz w:val="32"/>
          <w:szCs w:val="32"/>
        </w:rPr>
        <w:t>/s。受2002年特枯年份影响，该河于2003年上半年出现短时的断流现象。</w:t>
      </w:r>
    </w:p>
    <w:p>
      <w:pPr>
        <w:spacing w:line="560" w:lineRule="exact"/>
        <w:ind w:firstLine="640" w:firstLineChars="200"/>
        <w:rPr>
          <w:rFonts w:ascii="Times New Roman" w:hAnsi="Times New Roman" w:eastAsia="方正仿宋简体"/>
          <w:color w:val="000000"/>
          <w:sz w:val="32"/>
          <w:szCs w:val="32"/>
        </w:rPr>
      </w:pPr>
      <w:r>
        <w:rPr>
          <w:rFonts w:ascii="Times New Roman" w:hAnsi="Times New Roman" w:eastAsia="方正仿宋简体"/>
          <w:color w:val="000000"/>
          <w:sz w:val="32"/>
          <w:szCs w:val="32"/>
        </w:rPr>
        <w:t>（2）泗河</w:t>
      </w:r>
    </w:p>
    <w:p>
      <w:pPr>
        <w:spacing w:line="560" w:lineRule="exact"/>
        <w:ind w:firstLine="640" w:firstLineChars="200"/>
        <w:rPr>
          <w:rFonts w:ascii="Times New Roman" w:hAnsi="Times New Roman" w:eastAsia="方正仿宋简体"/>
          <w:color w:val="000000"/>
          <w:sz w:val="32"/>
          <w:szCs w:val="32"/>
        </w:rPr>
      </w:pPr>
      <w:r>
        <w:rPr>
          <w:rFonts w:ascii="Times New Roman" w:hAnsi="Times New Roman" w:eastAsia="方正仿宋简体"/>
          <w:color w:val="000000"/>
          <w:sz w:val="32"/>
          <w:szCs w:val="32"/>
        </w:rPr>
        <w:t>为济宁市东部山区最大的一条河流，全长159km，流域面积2366km</w:t>
      </w:r>
      <w:r>
        <w:rPr>
          <w:rFonts w:ascii="Times New Roman" w:hAnsi="Times New Roman" w:eastAsia="方正仿宋简体"/>
          <w:color w:val="000000"/>
          <w:sz w:val="32"/>
          <w:szCs w:val="32"/>
          <w:vertAlign w:val="superscript"/>
        </w:rPr>
        <w:t>2</w:t>
      </w:r>
      <w:r>
        <w:rPr>
          <w:rFonts w:ascii="Times New Roman" w:hAnsi="Times New Roman" w:eastAsia="方正仿宋简体"/>
          <w:color w:val="000000"/>
          <w:sz w:val="32"/>
          <w:szCs w:val="32"/>
        </w:rPr>
        <w:t>，流域最大宽度45km，平均宽度14km。泗河干流总落差268.5m，平均比降为1.86%。发源于新泰市东南太平顶山西麓上峪村东黑峪山，流经泗水县泉林，汇集泉林一带众多的泉水，构成泗河源头。丰水季节流量为70～80m</w:t>
      </w:r>
      <w:r>
        <w:rPr>
          <w:rFonts w:ascii="Times New Roman" w:hAnsi="Times New Roman" w:eastAsia="方正仿宋简体"/>
          <w:color w:val="000000"/>
          <w:sz w:val="32"/>
          <w:szCs w:val="32"/>
          <w:vertAlign w:val="superscript"/>
        </w:rPr>
        <w:t>3</w:t>
      </w:r>
      <w:r>
        <w:rPr>
          <w:rFonts w:ascii="Times New Roman" w:hAnsi="Times New Roman" w:eastAsia="方正仿宋简体"/>
          <w:color w:val="000000"/>
          <w:sz w:val="32"/>
          <w:szCs w:val="32"/>
        </w:rPr>
        <w:t>/s，最大洪峰流量可达1200m</w:t>
      </w:r>
      <w:r>
        <w:rPr>
          <w:rFonts w:ascii="Times New Roman" w:hAnsi="Times New Roman" w:eastAsia="方正仿宋简体"/>
          <w:color w:val="000000"/>
          <w:sz w:val="32"/>
          <w:szCs w:val="32"/>
          <w:vertAlign w:val="superscript"/>
        </w:rPr>
        <w:t>3</w:t>
      </w:r>
      <w:r>
        <w:rPr>
          <w:rFonts w:ascii="Times New Roman" w:hAnsi="Times New Roman" w:eastAsia="方正仿宋简体"/>
          <w:color w:val="000000"/>
          <w:sz w:val="32"/>
          <w:szCs w:val="32"/>
        </w:rPr>
        <w:t>/s，枯水季节流量仅10m</w:t>
      </w:r>
      <w:r>
        <w:rPr>
          <w:rFonts w:ascii="Times New Roman" w:hAnsi="Times New Roman" w:eastAsia="方正仿宋简体"/>
          <w:color w:val="000000"/>
          <w:sz w:val="32"/>
          <w:szCs w:val="32"/>
          <w:vertAlign w:val="superscript"/>
        </w:rPr>
        <w:t>3</w:t>
      </w:r>
      <w:r>
        <w:rPr>
          <w:rFonts w:ascii="Times New Roman" w:hAnsi="Times New Roman" w:eastAsia="方正仿宋简体"/>
          <w:color w:val="000000"/>
          <w:sz w:val="32"/>
          <w:szCs w:val="32"/>
        </w:rPr>
        <w:t>/s左右，甚至断流。2001-2002年降水偏少，仅在丰水季节有水，2003-2007年降水量较大，全年有水。</w:t>
      </w:r>
    </w:p>
    <w:p>
      <w:pPr>
        <w:spacing w:line="560" w:lineRule="exact"/>
        <w:ind w:firstLine="640" w:firstLineChars="200"/>
        <w:rPr>
          <w:rFonts w:ascii="Times New Roman" w:hAnsi="Times New Roman" w:eastAsia="方正仿宋简体"/>
          <w:color w:val="000000"/>
          <w:sz w:val="32"/>
          <w:szCs w:val="32"/>
        </w:rPr>
      </w:pPr>
      <w:r>
        <w:rPr>
          <w:rFonts w:ascii="Times New Roman" w:hAnsi="Times New Roman" w:eastAsia="方正仿宋简体"/>
          <w:color w:val="000000"/>
          <w:sz w:val="32"/>
          <w:szCs w:val="32"/>
        </w:rPr>
        <w:t>（3）</w:t>
      </w:r>
      <w:r>
        <w:rPr>
          <w:rFonts w:ascii="Times New Roman" w:hAnsi="Times New Roman"/>
          <w:color w:val="000000"/>
          <w:sz w:val="32"/>
          <w:szCs w:val="32"/>
        </w:rPr>
        <w:t>洸</w:t>
      </w:r>
      <w:r>
        <w:rPr>
          <w:rFonts w:ascii="Times New Roman" w:hAnsi="Times New Roman" w:eastAsia="方正仿宋简体"/>
          <w:color w:val="000000"/>
          <w:sz w:val="32"/>
          <w:szCs w:val="32"/>
        </w:rPr>
        <w:t>府河</w:t>
      </w:r>
    </w:p>
    <w:p>
      <w:pPr>
        <w:spacing w:line="560" w:lineRule="exact"/>
        <w:ind w:firstLine="640" w:firstLineChars="200"/>
        <w:rPr>
          <w:rFonts w:ascii="Times New Roman" w:hAnsi="Times New Roman" w:eastAsia="方正仿宋简体"/>
          <w:color w:val="000000"/>
          <w:sz w:val="32"/>
          <w:szCs w:val="32"/>
        </w:rPr>
      </w:pPr>
      <w:r>
        <w:rPr>
          <w:rFonts w:ascii="Times New Roman" w:hAnsi="Times New Roman" w:eastAsia="方正仿宋简体"/>
          <w:color w:val="000000"/>
          <w:sz w:val="32"/>
          <w:szCs w:val="32"/>
        </w:rPr>
        <w:t>发源于宁阳县东部山区，全长84.4km，济宁境内长约52.5km。该河流季节性变化大，自修建屯头闸、候店闸拦蓄水后，每年上游来水通过区内河段的水量很少。历史上最高水位39.12m，最大流量400m</w:t>
      </w:r>
      <w:r>
        <w:rPr>
          <w:rFonts w:ascii="Times New Roman" w:hAnsi="Times New Roman" w:eastAsia="方正仿宋简体"/>
          <w:color w:val="000000"/>
          <w:sz w:val="32"/>
          <w:szCs w:val="32"/>
          <w:vertAlign w:val="superscript"/>
        </w:rPr>
        <w:t>3</w:t>
      </w:r>
      <w:r>
        <w:rPr>
          <w:rFonts w:ascii="Times New Roman" w:hAnsi="Times New Roman" w:eastAsia="方正仿宋简体"/>
          <w:color w:val="000000"/>
          <w:sz w:val="32"/>
          <w:szCs w:val="32"/>
        </w:rPr>
        <w:t>/s，多年平均2.46m</w:t>
      </w:r>
      <w:r>
        <w:rPr>
          <w:rFonts w:ascii="Times New Roman" w:hAnsi="Times New Roman" w:eastAsia="方正仿宋简体"/>
          <w:color w:val="000000"/>
          <w:sz w:val="32"/>
          <w:szCs w:val="32"/>
          <w:vertAlign w:val="superscript"/>
        </w:rPr>
        <w:t>3</w:t>
      </w:r>
      <w:r>
        <w:rPr>
          <w:rFonts w:ascii="Times New Roman" w:hAnsi="Times New Roman" w:eastAsia="方正仿宋简体"/>
          <w:color w:val="000000"/>
          <w:sz w:val="32"/>
          <w:szCs w:val="32"/>
        </w:rPr>
        <w:t>/s。由于接纳上游宁阳县工业和生活污水的排放，河水污染严重。近几年济宁市段通过人工治理，采取清污分流措施，构筑橡胶坝蓄水净化，河两岸植树种草等手段，河水水质明显改善。</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sz w:val="32"/>
          <w:szCs w:val="32"/>
        </w:rPr>
        <w:t>（4）</w:t>
      </w:r>
      <w:r>
        <w:rPr>
          <w:rFonts w:ascii="Times New Roman" w:hAnsi="Times New Roman" w:eastAsia="方正仿宋简体"/>
          <w:color w:val="000000" w:themeColor="text1"/>
          <w:sz w:val="32"/>
          <w:szCs w:val="32"/>
          <w14:textFill>
            <w14:solidFill>
              <w14:schemeClr w14:val="tx1"/>
            </w14:solidFill>
          </w14:textFill>
        </w:rPr>
        <w:t>老运河即古京杭运河，过境段北起梁山县黄河右岸十里堡，流经太白湖新区县、任城区、市中区，南下入湖至微山县韩庄镇，全长229.65km。古运河停航后为废弃河道，梁济运河开挖又将老运河切为几段。老运河（济宁段）是指西起梁济运河后营闸，东流经济宁市区，南下入湖前的河段，全长7.8km，流域面积30km</w:t>
      </w:r>
      <w:r>
        <w:rPr>
          <w:rFonts w:ascii="Times New Roman" w:hAnsi="Times New Roman" w:eastAsia="方正仿宋简体"/>
          <w:color w:val="000000" w:themeColor="text1"/>
          <w:sz w:val="32"/>
          <w:szCs w:val="32"/>
          <w:vertAlign w:val="superscript"/>
          <w14:textFill>
            <w14:solidFill>
              <w14:schemeClr w14:val="tx1"/>
            </w14:solidFill>
          </w14:textFill>
        </w:rPr>
        <w:t>2</w:t>
      </w:r>
      <w:r>
        <w:rPr>
          <w:rFonts w:ascii="Times New Roman" w:hAnsi="Times New Roman" w:eastAsia="方正仿宋简体"/>
          <w:color w:val="000000" w:themeColor="text1"/>
          <w:sz w:val="32"/>
          <w:szCs w:val="32"/>
          <w14:textFill>
            <w14:solidFill>
              <w14:schemeClr w14:val="tx1"/>
            </w14:solidFill>
          </w14:textFill>
        </w:rPr>
        <w:t>。</w:t>
      </w:r>
    </w:p>
    <w:p>
      <w:pPr>
        <w:spacing w:line="560" w:lineRule="exact"/>
        <w:ind w:firstLine="640" w:firstLineChars="200"/>
        <w:rPr>
          <w:rFonts w:ascii="Times New Roman" w:hAnsi="Times New Roman" w:eastAsia="方正仿宋简体"/>
          <w:color w:val="000000"/>
          <w:sz w:val="32"/>
          <w:szCs w:val="32"/>
        </w:rPr>
      </w:pPr>
      <w:r>
        <w:rPr>
          <w:rFonts w:ascii="Times New Roman" w:hAnsi="Times New Roman" w:eastAsia="方正仿宋简体"/>
          <w:color w:val="000000"/>
          <w:sz w:val="32"/>
          <w:szCs w:val="32"/>
        </w:rPr>
        <w:t>（5）南四湖</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sz w:val="32"/>
          <w:szCs w:val="32"/>
        </w:rPr>
        <w:t>位于济宁市中南部，为我国十大淡水湖之一，也是江北最大的淡水湖泊，汇集苏、鲁、豫、皖四省三十余县市31700km</w:t>
      </w:r>
      <w:r>
        <w:rPr>
          <w:rFonts w:ascii="Times New Roman" w:hAnsi="Times New Roman" w:eastAsia="方正仿宋简体"/>
          <w:color w:val="000000"/>
          <w:sz w:val="32"/>
          <w:szCs w:val="32"/>
          <w:vertAlign w:val="superscript"/>
        </w:rPr>
        <w:t>2</w:t>
      </w:r>
      <w:r>
        <w:rPr>
          <w:rFonts w:ascii="Times New Roman" w:hAnsi="Times New Roman" w:eastAsia="方正仿宋简体"/>
          <w:color w:val="000000"/>
          <w:sz w:val="32"/>
          <w:szCs w:val="32"/>
        </w:rPr>
        <w:t>流域面积上的径流。南北长126km，东西宽5～25km，最大水面面积1266km</w:t>
      </w:r>
      <w:r>
        <w:rPr>
          <w:rFonts w:ascii="Times New Roman" w:hAnsi="Times New Roman" w:eastAsia="方正仿宋简体"/>
          <w:color w:val="000000"/>
          <w:sz w:val="32"/>
          <w:szCs w:val="32"/>
          <w:vertAlign w:val="superscript"/>
        </w:rPr>
        <w:t>2</w:t>
      </w:r>
      <w:r>
        <w:rPr>
          <w:rFonts w:ascii="Times New Roman" w:hAnsi="Times New Roman" w:eastAsia="方正仿宋简体"/>
          <w:color w:val="000000"/>
          <w:sz w:val="32"/>
          <w:szCs w:val="32"/>
        </w:rPr>
        <w:t>，其中上级湖最大水面面积602km</w:t>
      </w:r>
      <w:r>
        <w:rPr>
          <w:rFonts w:ascii="Times New Roman" w:hAnsi="Times New Roman" w:eastAsia="方正仿宋简体"/>
          <w:color w:val="000000"/>
          <w:sz w:val="32"/>
          <w:szCs w:val="32"/>
          <w:vertAlign w:val="superscript"/>
        </w:rPr>
        <w:t>2</w:t>
      </w:r>
      <w:r>
        <w:rPr>
          <w:rFonts w:ascii="Times New Roman" w:hAnsi="Times New Roman" w:eastAsia="方正仿宋简体"/>
          <w:color w:val="000000"/>
          <w:sz w:val="32"/>
          <w:szCs w:val="32"/>
        </w:rPr>
        <w:t>，兴利水位34.20m，死水位33.00m，允许最高水位35.50m，湖底标高31.50m，兴利库容9.24亿m</w:t>
      </w:r>
      <w:r>
        <w:rPr>
          <w:rFonts w:ascii="Times New Roman" w:hAnsi="Times New Roman" w:eastAsia="方正仿宋简体"/>
          <w:color w:val="000000"/>
          <w:sz w:val="32"/>
          <w:szCs w:val="32"/>
          <w:vertAlign w:val="superscript"/>
        </w:rPr>
        <w:t>3</w:t>
      </w:r>
      <w:r>
        <w:rPr>
          <w:rFonts w:ascii="Times New Roman" w:hAnsi="Times New Roman" w:eastAsia="方正仿宋简体"/>
          <w:color w:val="000000"/>
          <w:sz w:val="32"/>
          <w:szCs w:val="32"/>
        </w:rPr>
        <w:t>；下级湖最大水面面积664km</w:t>
      </w:r>
      <w:r>
        <w:rPr>
          <w:rFonts w:ascii="Times New Roman" w:hAnsi="Times New Roman" w:eastAsia="方正仿宋简体"/>
          <w:color w:val="000000"/>
          <w:sz w:val="32"/>
          <w:szCs w:val="32"/>
          <w:vertAlign w:val="superscript"/>
        </w:rPr>
        <w:t>2</w:t>
      </w:r>
      <w:r>
        <w:rPr>
          <w:rFonts w:ascii="Times New Roman" w:hAnsi="Times New Roman" w:eastAsia="方正仿宋简体"/>
          <w:color w:val="000000"/>
          <w:sz w:val="32"/>
          <w:szCs w:val="32"/>
        </w:rPr>
        <w:t>，兴利水位32.50m，死水位31.50m，允许最高水位35.00m，湖底标高30.00m，兴利库容7.78亿m</w:t>
      </w:r>
      <w:r>
        <w:rPr>
          <w:rFonts w:ascii="Times New Roman" w:hAnsi="Times New Roman" w:eastAsia="方正仿宋简体"/>
          <w:color w:val="000000"/>
          <w:sz w:val="32"/>
          <w:szCs w:val="32"/>
          <w:vertAlign w:val="superscript"/>
        </w:rPr>
        <w:t>3</w:t>
      </w:r>
      <w:r>
        <w:rPr>
          <w:rFonts w:ascii="Times New Roman" w:hAnsi="Times New Roman" w:eastAsia="方正仿宋简体"/>
          <w:color w:val="000000"/>
          <w:sz w:val="32"/>
          <w:szCs w:val="32"/>
        </w:rPr>
        <w:t>。多年平均径流量14.28亿m</w:t>
      </w:r>
      <w:r>
        <w:rPr>
          <w:rFonts w:ascii="Times New Roman" w:hAnsi="Times New Roman" w:eastAsia="方正仿宋简体"/>
          <w:color w:val="000000"/>
          <w:sz w:val="32"/>
          <w:szCs w:val="32"/>
          <w:vertAlign w:val="superscript"/>
        </w:rPr>
        <w:t>3</w:t>
      </w:r>
      <w:r>
        <w:rPr>
          <w:rFonts w:ascii="Times New Roman" w:hAnsi="Times New Roman" w:eastAsia="方正仿宋简体"/>
          <w:color w:val="000000"/>
          <w:sz w:val="32"/>
          <w:szCs w:val="32"/>
        </w:rPr>
        <w:t>/a。</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84" w:name="2.1.4_植被覆盖"/>
      <w:bookmarkEnd w:id="84"/>
      <w:bookmarkStart w:id="85" w:name="_Toc138888956"/>
      <w:r>
        <w:rPr>
          <w:rFonts w:ascii="Times New Roman" w:hAnsi="Times New Roman" w:eastAsia="方正仿宋简体"/>
          <w:color w:val="000000" w:themeColor="text1"/>
          <w14:textFill>
            <w14:solidFill>
              <w14:schemeClr w14:val="tx1"/>
            </w14:solidFill>
          </w14:textFill>
        </w:rPr>
        <w:t>2.1.4植被覆盖</w:t>
      </w:r>
      <w:bookmarkEnd w:id="85"/>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太白湖新区属暖温带落叶阔叶林区，经人类长期生产活动，天然植被已逐步被人工植被所代替，具有明显的次生性质。植被类型包括阔叶林、针叶林和针阔叶混交林，以乔木、灌木及草本植物为主；主要乔木植物有松类、麻栎、刺槐、侧柏、毛白杨、泡桐、黑杨、柳、榆、臭椿、白蜡、栾树、紫叶李等，灌木和草本植物主要有胡枝子、荆条、酸枣、黄背草、白羊草、羊胡子草等。经济植物主要有樱桃、苹果、梨、桃、枣、柿、板栗、核桃、茶、桑、蓝莓等。作物植被以小麦、玉米、黄烟、马铃薯、花生等为主。</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86" w:name="2.1.5_土壤特征"/>
      <w:bookmarkEnd w:id="86"/>
      <w:bookmarkStart w:id="87" w:name="_Toc138888957"/>
      <w:r>
        <w:rPr>
          <w:rFonts w:ascii="Times New Roman" w:hAnsi="Times New Roman" w:eastAsia="方正仿宋简体"/>
          <w:color w:val="000000" w:themeColor="text1"/>
          <w14:textFill>
            <w14:solidFill>
              <w14:schemeClr w14:val="tx1"/>
            </w14:solidFill>
          </w14:textFill>
        </w:rPr>
        <w:t>2.1.5土壤特征</w:t>
      </w:r>
      <w:bookmarkEnd w:id="87"/>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按全国第二次土壤普查的八级土地评级标准，济宁太白湖新区可利用土地49760公顷，占总土地面积的76.77%。按该标准划分主要包含三个等级：其中二级地土地面积33877公顷，占52.26%，主要分布在中部、北部和西北部的岗坡和微斜平原上；三级地土地面积11171公顷，占17.23%，主要分布于境内西南部低洼地带；四级地土地面积4712公顷，占7.27%，主要分布在东北和东南沿泗河、</w:t>
      </w:r>
      <w:r>
        <w:rPr>
          <w:rFonts w:ascii="Times New Roman" w:hAnsi="Times New Roman"/>
          <w:color w:val="000000" w:themeColor="text1"/>
          <w:sz w:val="32"/>
          <w:szCs w:val="32"/>
          <w14:textFill>
            <w14:solidFill>
              <w14:schemeClr w14:val="tx1"/>
            </w14:solidFill>
          </w14:textFill>
        </w:rPr>
        <w:t>洸</w:t>
      </w:r>
      <w:r>
        <w:rPr>
          <w:rFonts w:ascii="Times New Roman" w:hAnsi="Times New Roman" w:eastAsia="方正仿宋简体"/>
          <w:color w:val="000000" w:themeColor="text1"/>
          <w:sz w:val="32"/>
          <w:szCs w:val="32"/>
          <w14:textFill>
            <w14:solidFill>
              <w14:schemeClr w14:val="tx1"/>
            </w14:solidFill>
          </w14:textFill>
        </w:rPr>
        <w:t>府河地带。</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济宁市地质构造单元属于华北地台鲁中南台隆。中生代中、晚期燕山运动和新生代第二纪喜马拉雅山运动，塑造了断裂构造、褶皱构造和尼山穹隆构造三种地形。济宁太白湖新区土壤以褐土、潮土为主，土壤母质好，土壤耕性、保水保肥性好。土壤耕层容重1.3g/cm3，总孔隙度59%，有机质1.4%，全氮0.087%，碱解氮85.5mg/kg，速效磷27.7mg/kg，速效钾112mg/kg，适于玉米、小麦、花生等农作物栽培。</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太白湖新区境内煤炭资源丰富，是全国著名八大煤田之一的济宁煤田的一部分，主要埋藏于市境东南部。属石炭、二迭系含煤地层，可采煤层分上下两个煤组，分别集中于山西组下部、太原群中部及底部。中石炭系本溪群亦含有薄层煤。埋深在500~2000米左右，共含煤26层，总厚18.6米，其中可采7层，厚13.74米。第三层煤层一般厚7~9米，最厚达12米，分布较连续，地质储量在12亿吨以上。煤质优良，低硫、低磷、低灰。</w:t>
      </w:r>
    </w:p>
    <w:p>
      <w:pPr>
        <w:pStyle w:val="3"/>
      </w:pPr>
      <w:bookmarkStart w:id="88" w:name="2.1.6_自然资源"/>
      <w:bookmarkEnd w:id="88"/>
      <w:bookmarkStart w:id="89" w:name="2.1.7_耕地质量"/>
      <w:bookmarkEnd w:id="89"/>
      <w:bookmarkStart w:id="90" w:name="_Toc119843210"/>
      <w:bookmarkStart w:id="91" w:name="_Toc119856277"/>
      <w:bookmarkStart w:id="92" w:name="_Toc119856665"/>
      <w:bookmarkStart w:id="93" w:name="_Toc119849205"/>
      <w:bookmarkStart w:id="94" w:name="_Toc138888958"/>
      <w:bookmarkStart w:id="95" w:name="_Toc119835887"/>
      <w:r>
        <w:t>2.2社会经济状况</w:t>
      </w:r>
      <w:bookmarkEnd w:id="90"/>
      <w:bookmarkEnd w:id="91"/>
      <w:bookmarkEnd w:id="92"/>
      <w:bookmarkEnd w:id="93"/>
      <w:bookmarkEnd w:id="94"/>
      <w:bookmarkEnd w:id="95"/>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96" w:name="_Toc119856278"/>
      <w:bookmarkStart w:id="97" w:name="_Toc138888959"/>
      <w:bookmarkStart w:id="98" w:name="_Toc119835888"/>
      <w:bookmarkStart w:id="99" w:name="_Toc119856666"/>
      <w:bookmarkStart w:id="100" w:name="_Toc119849206"/>
      <w:bookmarkStart w:id="101" w:name="_Toc119843211"/>
      <w:r>
        <w:rPr>
          <w:rFonts w:ascii="Times New Roman" w:hAnsi="Times New Roman" w:eastAsia="方正仿宋简体"/>
          <w:color w:val="000000" w:themeColor="text1"/>
          <w14:textFill>
            <w14:solidFill>
              <w14:schemeClr w14:val="tx1"/>
            </w14:solidFill>
          </w14:textFill>
        </w:rPr>
        <w:t>2.2.1行政区划</w:t>
      </w:r>
      <w:bookmarkEnd w:id="96"/>
      <w:bookmarkEnd w:id="97"/>
      <w:bookmarkEnd w:id="98"/>
      <w:bookmarkEnd w:id="99"/>
      <w:bookmarkEnd w:id="100"/>
      <w:bookmarkEnd w:id="101"/>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济宁太白湖新区隶属济宁市。济宁太白湖新区位于济宁城区南部，南接微山湖，北靠老城区，东跨泗河、洗府河，西跨古运河、京杭运河，行政辖区面积133平方公里，下辖1个镇、1个街道办事处、64个村居。2019 年末常住总人口13.71万人，人口自然增长率6.44 %。</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全年实现生产总值47.92亿元，比上年增长4.3%。其中，第一产业增加值4.35亿元，第二产业增加值15.80亿元，第三产业增加值27.77亿元。固定资产投资增长11.9%，地方一般公共预算收入14.9亿元，地方一般公共预算支出9.12亿元。社会消费品零售总额1.9亿元，进出总额1.16亿元。</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农林牧渔业增加值4.79亿元，其中农业增加值1.13亿元。全区粮食总产4.07万吨，肉、蛋、奶总产0.16万吨，水产品总产1.6万吨。全年新增造林面积积0.0036万公顷，林木绿化率42.38%。全区绿化面积达到2411万平方米，城市绿化覆盖率达到46%、绿地率达到44.5%。全区拥有农业机械总动力2.33万千瓦，农作物耕种收综合机械化水平达99.9%。全部工业增加值比上年增长2.29%。规模以上工业实现主营业务收入18.54亿元，实现利润2.55亿元。济宁太白湖新区行政区划见表2.2-1。</w:t>
      </w:r>
    </w:p>
    <w:p>
      <w:pPr>
        <w:pStyle w:val="8"/>
        <w:spacing w:line="560" w:lineRule="exact"/>
        <w:ind w:firstLine="0" w:firstLineChars="0"/>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表2.2-1 济宁太白湖新区行政区划表</w:t>
      </w:r>
    </w:p>
    <w:tbl>
      <w:tblPr>
        <w:tblStyle w:val="27"/>
        <w:tblW w:w="9372" w:type="dxa"/>
        <w:jc w:val="center"/>
        <w:tblLayout w:type="fixed"/>
        <w:tblCellMar>
          <w:top w:w="0" w:type="dxa"/>
          <w:left w:w="108" w:type="dxa"/>
          <w:bottom w:w="0" w:type="dxa"/>
          <w:right w:w="108" w:type="dxa"/>
        </w:tblCellMar>
      </w:tblPr>
      <w:tblGrid>
        <w:gridCol w:w="850"/>
        <w:gridCol w:w="1476"/>
        <w:gridCol w:w="7046"/>
      </w:tblGrid>
      <w:tr>
        <w:tblPrEx>
          <w:tblCellMar>
            <w:top w:w="0" w:type="dxa"/>
            <w:left w:w="108" w:type="dxa"/>
            <w:bottom w:w="0" w:type="dxa"/>
            <w:right w:w="108" w:type="dxa"/>
          </w:tblCellMar>
        </w:tblPrEx>
        <w:trPr>
          <w:trHeight w:val="567" w:hRule="atLeast"/>
          <w:tblHeader/>
          <w:jc w:val="center"/>
        </w:trPr>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Times New Roman" w:hAnsi="Times New Roman" w:eastAsia="方正仿宋简体"/>
                <w:b/>
                <w:color w:val="000000" w:themeColor="text1"/>
                <w:kern w:val="0"/>
                <w:sz w:val="30"/>
                <w:szCs w:val="30"/>
                <w14:textFill>
                  <w14:solidFill>
                    <w14:schemeClr w14:val="tx1"/>
                  </w14:solidFill>
                </w14:textFill>
              </w:rPr>
            </w:pPr>
            <w:r>
              <w:rPr>
                <w:rFonts w:ascii="Times New Roman" w:hAnsi="Times New Roman" w:eastAsia="方正仿宋简体"/>
                <w:b/>
                <w:color w:val="000000" w:themeColor="text1"/>
                <w:kern w:val="0"/>
                <w:sz w:val="30"/>
                <w:szCs w:val="30"/>
                <w14:textFill>
                  <w14:solidFill>
                    <w14:schemeClr w14:val="tx1"/>
                  </w14:solidFill>
                </w14:textFill>
              </w:rPr>
              <w:t>序号</w:t>
            </w:r>
          </w:p>
        </w:tc>
        <w:tc>
          <w:tcPr>
            <w:tcW w:w="1476"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Times New Roman" w:hAnsi="Times New Roman" w:eastAsia="方正仿宋简体"/>
                <w:b/>
                <w:color w:val="000000" w:themeColor="text1"/>
                <w:kern w:val="0"/>
                <w:sz w:val="30"/>
                <w:szCs w:val="30"/>
                <w14:textFill>
                  <w14:solidFill>
                    <w14:schemeClr w14:val="tx1"/>
                  </w14:solidFill>
                </w14:textFill>
              </w:rPr>
            </w:pPr>
            <w:r>
              <w:rPr>
                <w:rFonts w:ascii="Times New Roman" w:hAnsi="Times New Roman" w:eastAsia="方正仿宋简体"/>
                <w:b/>
                <w:color w:val="000000" w:themeColor="text1"/>
                <w:kern w:val="0"/>
                <w:sz w:val="30"/>
                <w:szCs w:val="30"/>
                <w14:textFill>
                  <w14:solidFill>
                    <w14:schemeClr w14:val="tx1"/>
                  </w14:solidFill>
                </w14:textFill>
              </w:rPr>
              <w:t>镇街名称</w:t>
            </w:r>
          </w:p>
        </w:tc>
        <w:tc>
          <w:tcPr>
            <w:tcW w:w="7046"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Times New Roman" w:hAnsi="Times New Roman" w:eastAsia="方正仿宋简体"/>
                <w:b/>
                <w:color w:val="000000" w:themeColor="text1"/>
                <w:kern w:val="0"/>
                <w:sz w:val="30"/>
                <w:szCs w:val="30"/>
                <w14:textFill>
                  <w14:solidFill>
                    <w14:schemeClr w14:val="tx1"/>
                  </w14:solidFill>
                </w14:textFill>
              </w:rPr>
            </w:pPr>
            <w:r>
              <w:rPr>
                <w:rFonts w:ascii="Times New Roman" w:hAnsi="Times New Roman" w:eastAsia="方正仿宋简体"/>
                <w:b/>
                <w:color w:val="000000" w:themeColor="text1"/>
                <w:kern w:val="0"/>
                <w:sz w:val="30"/>
                <w:szCs w:val="30"/>
                <w14:textFill>
                  <w14:solidFill>
                    <w14:schemeClr w14:val="tx1"/>
                  </w14:solidFill>
                </w14:textFill>
              </w:rPr>
              <w:t>村委会（社区）</w:t>
            </w:r>
          </w:p>
        </w:tc>
      </w:tr>
      <w:tr>
        <w:tblPrEx>
          <w:tblCellMar>
            <w:top w:w="0" w:type="dxa"/>
            <w:left w:w="108" w:type="dxa"/>
            <w:bottom w:w="0" w:type="dxa"/>
            <w:right w:w="108" w:type="dxa"/>
          </w:tblCellMar>
        </w:tblPrEx>
        <w:trPr>
          <w:trHeight w:val="850" w:hRule="atLeast"/>
          <w:jc w:val="center"/>
        </w:trPr>
        <w:tc>
          <w:tcPr>
            <w:tcW w:w="850" w:type="dxa"/>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w:t>
            </w:r>
          </w:p>
        </w:tc>
        <w:tc>
          <w:tcPr>
            <w:tcW w:w="1476" w:type="dxa"/>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许庄街道</w:t>
            </w:r>
          </w:p>
        </w:tc>
        <w:tc>
          <w:tcPr>
            <w:tcW w:w="7046" w:type="dxa"/>
            <w:tcBorders>
              <w:top w:val="nil"/>
              <w:left w:val="nil"/>
              <w:bottom w:val="single" w:color="auto" w:sz="4" w:space="0"/>
              <w:right w:val="single" w:color="auto" w:sz="4" w:space="0"/>
            </w:tcBorders>
            <w:vAlign w:val="center"/>
          </w:tcPr>
          <w:p>
            <w:pPr>
              <w:widowControl/>
              <w:snapToGrid w:val="0"/>
              <w:jc w:val="left"/>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许庄街道下辖6个社区、25个行政村：航运新村社区、毛行社区、水稻研究所社区、工联新村社区、山东理工职业学院社区、济宁医学院社区、许庄村、甄庄村、谭岗村、甄庙村、陈庄村、南李楼村、李王庄村、南黄庄村、八里店村、尹营村、大孟村、朱孟庄村、张营村、白屯村、张固堆村、廉庄村、东赵庄村、东石佛村、西石佛村、白庄村、新兴村、常利村、李集村、孙杨田村、国光村；街道办事处驻许庄</w:t>
            </w:r>
          </w:p>
        </w:tc>
      </w:tr>
      <w:tr>
        <w:tblPrEx>
          <w:tblCellMar>
            <w:top w:w="0" w:type="dxa"/>
            <w:left w:w="108" w:type="dxa"/>
            <w:bottom w:w="0" w:type="dxa"/>
            <w:right w:w="108" w:type="dxa"/>
          </w:tblCellMar>
        </w:tblPrEx>
        <w:trPr>
          <w:trHeight w:val="850" w:hRule="atLeast"/>
          <w:jc w:val="center"/>
        </w:trPr>
        <w:tc>
          <w:tcPr>
            <w:tcW w:w="850" w:type="dxa"/>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2</w:t>
            </w:r>
          </w:p>
        </w:tc>
        <w:tc>
          <w:tcPr>
            <w:tcW w:w="1476" w:type="dxa"/>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石桥镇</w:t>
            </w:r>
          </w:p>
        </w:tc>
        <w:tc>
          <w:tcPr>
            <w:tcW w:w="7046" w:type="dxa"/>
            <w:tcBorders>
              <w:top w:val="nil"/>
              <w:left w:val="nil"/>
              <w:bottom w:val="single" w:color="auto" w:sz="4" w:space="0"/>
              <w:right w:val="single" w:color="auto" w:sz="4" w:space="0"/>
            </w:tcBorders>
            <w:vAlign w:val="center"/>
          </w:tcPr>
          <w:p>
            <w:pPr>
              <w:widowControl/>
              <w:snapToGrid w:val="0"/>
              <w:jc w:val="left"/>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333333"/>
                <w:sz w:val="28"/>
                <w:szCs w:val="30"/>
                <w:shd w:val="clear" w:color="auto" w:fill="FFFFFF"/>
              </w:rPr>
              <w:t>石桥镇下辖1个社区：登丰里社区；32个行政村：前石桥村、后石桥村、苏庄村、刘营村、郝楼村、孙庄村、聂庄村、靳庄村、栗河涯村、张东村、张西村、刘庄村、罗场村、仙庄村、李二庄村、姜庄村、兴隆村、北王庄一村、北王庄二村、北庄三村、新闸村、辛店村、倪庙村、孙道口村、前李庙村、后李庙村、陆桥村、孟井村、韩店村、齐营村、崔院村、吴家湾村；1个生活区：南阳湖农场生活区，镇人民政府驻前石桥村。</w:t>
            </w:r>
          </w:p>
        </w:tc>
      </w:tr>
    </w:tbl>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102" w:name="_Toc119849207"/>
      <w:bookmarkStart w:id="103" w:name="_Toc119835889"/>
      <w:bookmarkStart w:id="104" w:name="_Toc119843212"/>
      <w:bookmarkStart w:id="105" w:name="_Toc119856279"/>
      <w:bookmarkStart w:id="106" w:name="_Toc119856667"/>
      <w:bookmarkStart w:id="107" w:name="_Toc138888960"/>
      <w:r>
        <w:rPr>
          <w:rFonts w:ascii="Times New Roman" w:hAnsi="Times New Roman" w:eastAsia="方正仿宋简体"/>
          <w:color w:val="000000" w:themeColor="text1"/>
          <w14:textFill>
            <w14:solidFill>
              <w14:schemeClr w14:val="tx1"/>
            </w14:solidFill>
          </w14:textFill>
        </w:rPr>
        <w:t>2.2.2产业类型</w:t>
      </w:r>
      <w:bookmarkEnd w:id="102"/>
      <w:bookmarkEnd w:id="103"/>
      <w:bookmarkEnd w:id="104"/>
      <w:bookmarkEnd w:id="105"/>
      <w:bookmarkEnd w:id="106"/>
      <w:bookmarkEnd w:id="107"/>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（1）农业经济平稳发展。</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2020年，全区农林牧渔及其服务业实现增加值32.12亿元，同比增长5.9%。其中，农业增加值11257万元、林业增加值568万元、牧业增加值1556万元、渔业增加值30119万元；农林牧渔服务业增加值4400万元，同比增长1.4%。</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（2）工业生产稳步增长。</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2020年，太白湖新区规模以上工业企业达8家，其中营业收入过亿元的企业4家。全年规模以上工业增加值同比增长2.29%。规模以上工业企业实现营业收入18.54亿元，同比下降12.5%；利润实现2.55亿元，同比增长5.6%。按门类分，采矿业增加值增长，制造业增加值增长，电力、燃气及水的生产和供应业增加值下降。</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（3）建筑业生产小幅增长。</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2020年，全区资质内建筑业企业共19家，完成建筑业总产值11.87亿元，同比增长26.7%。</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108" w:name="_Toc119835890"/>
      <w:bookmarkStart w:id="109" w:name="_Toc119849208"/>
      <w:bookmarkStart w:id="110" w:name="_Toc119856280"/>
      <w:bookmarkStart w:id="111" w:name="_Toc119856668"/>
      <w:bookmarkStart w:id="112" w:name="_Toc138888961"/>
      <w:bookmarkStart w:id="113" w:name="_Toc119843213"/>
      <w:r>
        <w:rPr>
          <w:rFonts w:ascii="Times New Roman" w:hAnsi="Times New Roman" w:eastAsia="方正仿宋简体"/>
          <w:color w:val="000000" w:themeColor="text1"/>
          <w14:textFill>
            <w14:solidFill>
              <w14:schemeClr w14:val="tx1"/>
            </w14:solidFill>
          </w14:textFill>
        </w:rPr>
        <w:t>2.2.3经济概况</w:t>
      </w:r>
      <w:bookmarkEnd w:id="108"/>
      <w:bookmarkEnd w:id="109"/>
      <w:bookmarkEnd w:id="110"/>
      <w:bookmarkEnd w:id="111"/>
      <w:bookmarkEnd w:id="112"/>
      <w:bookmarkEnd w:id="113"/>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2020年济宁太白湖新区全年地区生产总值（GDP）完成47.92亿元，按可比价格计算，增长4.3%。分产业看，第一产业增加值4.35亿元、增长1.4%；第二产业增加值15.80亿元、增长1.1%；第三产业增加值27.77亿元、增长6.9%。</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114" w:name="_Toc119856281"/>
      <w:bookmarkStart w:id="115" w:name="_Toc138888962"/>
      <w:bookmarkStart w:id="116" w:name="_Toc119856669"/>
      <w:bookmarkStart w:id="117" w:name="_Toc119835891"/>
      <w:bookmarkStart w:id="118" w:name="_Toc119843214"/>
      <w:bookmarkStart w:id="119" w:name="_Toc119849209"/>
      <w:r>
        <w:rPr>
          <w:rFonts w:ascii="Times New Roman" w:hAnsi="Times New Roman" w:eastAsia="方正仿宋简体"/>
          <w:color w:val="000000" w:themeColor="text1"/>
          <w14:textFill>
            <w14:solidFill>
              <w14:schemeClr w14:val="tx1"/>
            </w14:solidFill>
          </w14:textFill>
        </w:rPr>
        <w:t>2.2.4土地利用</w:t>
      </w:r>
      <w:bookmarkEnd w:id="114"/>
      <w:bookmarkEnd w:id="115"/>
      <w:bookmarkEnd w:id="116"/>
      <w:bookmarkEnd w:id="117"/>
      <w:bookmarkEnd w:id="118"/>
      <w:bookmarkEnd w:id="119"/>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根据济宁太白湖新区国土调查结果，济宁太白湖新区国土利用状况为：</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一、耕地3540.94公顷。其中，水田</w:t>
      </w:r>
      <w:r>
        <w:rPr>
          <w:rFonts w:ascii="Times New Roman" w:hAnsi="Times New Roman" w:eastAsia="方正仿宋简体"/>
          <w:color w:val="000000" w:themeColor="text1"/>
          <w:kern w:val="0"/>
          <w:sz w:val="32"/>
          <w:szCs w:val="32"/>
          <w14:textFill>
            <w14:solidFill>
              <w14:schemeClr w14:val="tx1"/>
            </w14:solidFill>
          </w14:textFill>
        </w:rPr>
        <w:t>13.58</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0.11%</w:t>
      </w:r>
      <w:r>
        <w:rPr>
          <w:rFonts w:ascii="Times New Roman" w:hAnsi="Times New Roman" w:eastAsia="方正仿宋简体"/>
          <w:color w:val="000000" w:themeColor="text1"/>
          <w:sz w:val="32"/>
          <w:szCs w:val="32"/>
          <w14:textFill>
            <w14:solidFill>
              <w14:schemeClr w14:val="tx1"/>
            </w14:solidFill>
          </w14:textFill>
        </w:rPr>
        <w:t>；水浇地</w:t>
      </w:r>
      <w:r>
        <w:rPr>
          <w:rFonts w:ascii="Times New Roman" w:hAnsi="Times New Roman" w:eastAsia="方正仿宋简体"/>
          <w:color w:val="000000" w:themeColor="text1"/>
          <w:kern w:val="0"/>
          <w:sz w:val="32"/>
          <w:szCs w:val="32"/>
          <w14:textFill>
            <w14:solidFill>
              <w14:schemeClr w14:val="tx1"/>
            </w14:solidFill>
          </w14:textFill>
        </w:rPr>
        <w:t>3165.58</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24.61%</w:t>
      </w:r>
      <w:r>
        <w:rPr>
          <w:rFonts w:ascii="Times New Roman" w:hAnsi="Times New Roman" w:eastAsia="方正仿宋简体"/>
          <w:color w:val="000000" w:themeColor="text1"/>
          <w:sz w:val="32"/>
          <w:szCs w:val="32"/>
          <w14:textFill>
            <w14:solidFill>
              <w14:schemeClr w14:val="tx1"/>
            </w14:solidFill>
          </w14:textFill>
        </w:rPr>
        <w:t>；旱地</w:t>
      </w:r>
      <w:r>
        <w:rPr>
          <w:rFonts w:ascii="Times New Roman" w:hAnsi="Times New Roman" w:eastAsia="方正仿宋简体"/>
          <w:color w:val="000000" w:themeColor="text1"/>
          <w:kern w:val="0"/>
          <w:sz w:val="32"/>
          <w:szCs w:val="32"/>
          <w14:textFill>
            <w14:solidFill>
              <w14:schemeClr w14:val="tx1"/>
            </w14:solidFill>
          </w14:textFill>
        </w:rPr>
        <w:t>361.78</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2.81%</w:t>
      </w:r>
      <w:r>
        <w:rPr>
          <w:rFonts w:ascii="Times New Roman" w:hAnsi="Times New Roman" w:eastAsia="方正仿宋简体"/>
          <w:color w:val="000000" w:themeColor="text1"/>
          <w:sz w:val="32"/>
          <w:szCs w:val="32"/>
          <w14:textFill>
            <w14:solidFill>
              <w14:schemeClr w14:val="tx1"/>
            </w14:solidFill>
          </w14:textFill>
        </w:rPr>
        <w:t>。</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二、种植园地</w:t>
      </w:r>
      <w:r>
        <w:rPr>
          <w:rFonts w:ascii="Times New Roman" w:hAnsi="Times New Roman" w:eastAsia="方正仿宋简体"/>
          <w:color w:val="000000"/>
          <w:sz w:val="32"/>
          <w:szCs w:val="32"/>
        </w:rPr>
        <w:t>235.31</w:t>
      </w:r>
      <w:r>
        <w:rPr>
          <w:rFonts w:ascii="Times New Roman" w:hAnsi="Times New Roman" w:eastAsia="方正仿宋简体"/>
          <w:color w:val="000000" w:themeColor="text1"/>
          <w:sz w:val="32"/>
          <w:szCs w:val="32"/>
          <w14:textFill>
            <w14:solidFill>
              <w14:schemeClr w14:val="tx1"/>
            </w14:solidFill>
          </w14:textFill>
        </w:rPr>
        <w:t>公顷。其中，果园</w:t>
      </w:r>
      <w:r>
        <w:rPr>
          <w:rFonts w:ascii="Times New Roman" w:hAnsi="Times New Roman" w:eastAsia="方正仿宋简体"/>
          <w:color w:val="000000" w:themeColor="text1"/>
          <w:kern w:val="0"/>
          <w:sz w:val="32"/>
          <w:szCs w:val="32"/>
          <w14:textFill>
            <w14:solidFill>
              <w14:schemeClr w14:val="tx1"/>
            </w14:solidFill>
          </w14:textFill>
        </w:rPr>
        <w:t>213.01</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themeColor="text1"/>
          <w:kern w:val="0"/>
          <w:sz w:val="32"/>
          <w:szCs w:val="32"/>
          <w14:textFill>
            <w14:solidFill>
              <w14:schemeClr w14:val="tx1"/>
            </w14:solidFill>
          </w14:textFill>
        </w:rPr>
        <w:t>1.66%</w:t>
      </w:r>
      <w:r>
        <w:rPr>
          <w:rFonts w:ascii="Times New Roman" w:hAnsi="Times New Roman" w:eastAsia="方正仿宋简体"/>
          <w:color w:val="000000" w:themeColor="text1"/>
          <w:sz w:val="32"/>
          <w:szCs w:val="32"/>
          <w14:textFill>
            <w14:solidFill>
              <w14:schemeClr w14:val="tx1"/>
            </w14:solidFill>
          </w14:textFill>
        </w:rPr>
        <w:t>；其他园地</w:t>
      </w:r>
      <w:r>
        <w:rPr>
          <w:rFonts w:ascii="Times New Roman" w:hAnsi="Times New Roman" w:eastAsia="方正仿宋简体"/>
          <w:color w:val="000000" w:themeColor="text1"/>
          <w:kern w:val="0"/>
          <w:sz w:val="32"/>
          <w:szCs w:val="32"/>
          <w14:textFill>
            <w14:solidFill>
              <w14:schemeClr w14:val="tx1"/>
            </w14:solidFill>
          </w14:textFill>
        </w:rPr>
        <w:t>22.30</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0.17%</w:t>
      </w:r>
      <w:r>
        <w:rPr>
          <w:rFonts w:ascii="Times New Roman" w:hAnsi="Times New Roman" w:eastAsia="方正仿宋简体"/>
          <w:color w:val="000000" w:themeColor="text1"/>
          <w:sz w:val="32"/>
          <w:szCs w:val="32"/>
          <w14:textFill>
            <w14:solidFill>
              <w14:schemeClr w14:val="tx1"/>
            </w14:solidFill>
          </w14:textFill>
        </w:rPr>
        <w:t>。</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三、林地</w:t>
      </w:r>
      <w:r>
        <w:rPr>
          <w:rFonts w:ascii="Times New Roman" w:hAnsi="Times New Roman" w:eastAsia="方正仿宋简体"/>
          <w:color w:val="000000"/>
          <w:sz w:val="32"/>
          <w:szCs w:val="32"/>
        </w:rPr>
        <w:t>1308.17</w:t>
      </w:r>
      <w:r>
        <w:rPr>
          <w:rFonts w:ascii="Times New Roman" w:hAnsi="Times New Roman" w:eastAsia="方正仿宋简体"/>
          <w:color w:val="000000" w:themeColor="text1"/>
          <w:sz w:val="32"/>
          <w:szCs w:val="32"/>
          <w14:textFill>
            <w14:solidFill>
              <w14:schemeClr w14:val="tx1"/>
            </w14:solidFill>
          </w14:textFill>
        </w:rPr>
        <w:t>公顷。其中，乔木林地</w:t>
      </w:r>
      <w:r>
        <w:rPr>
          <w:rFonts w:ascii="Times New Roman" w:hAnsi="Times New Roman" w:eastAsia="方正仿宋简体"/>
          <w:color w:val="000000" w:themeColor="text1"/>
          <w:kern w:val="0"/>
          <w:sz w:val="32"/>
          <w:szCs w:val="32"/>
          <w14:textFill>
            <w14:solidFill>
              <w14:schemeClr w14:val="tx1"/>
            </w14:solidFill>
          </w14:textFill>
        </w:rPr>
        <w:t>793.01</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6.16%</w:t>
      </w:r>
      <w:r>
        <w:rPr>
          <w:rFonts w:ascii="Times New Roman" w:hAnsi="Times New Roman" w:eastAsia="方正仿宋简体"/>
          <w:color w:val="000000" w:themeColor="text1"/>
          <w:sz w:val="32"/>
          <w:szCs w:val="32"/>
          <w14:textFill>
            <w14:solidFill>
              <w14:schemeClr w14:val="tx1"/>
            </w14:solidFill>
          </w14:textFill>
        </w:rPr>
        <w:t>；其他林地</w:t>
      </w:r>
      <w:r>
        <w:rPr>
          <w:rFonts w:ascii="Times New Roman" w:hAnsi="Times New Roman" w:eastAsia="方正仿宋简体"/>
          <w:color w:val="000000" w:themeColor="text1"/>
          <w:kern w:val="0"/>
          <w:sz w:val="32"/>
          <w:szCs w:val="32"/>
          <w14:textFill>
            <w14:solidFill>
              <w14:schemeClr w14:val="tx1"/>
            </w14:solidFill>
          </w14:textFill>
        </w:rPr>
        <w:t>515.16</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4.00%</w:t>
      </w:r>
      <w:r>
        <w:rPr>
          <w:rFonts w:ascii="Times New Roman" w:hAnsi="Times New Roman" w:eastAsia="方正仿宋简体"/>
          <w:color w:val="000000" w:themeColor="text1"/>
          <w:sz w:val="32"/>
          <w:szCs w:val="32"/>
          <w14:textFill>
            <w14:solidFill>
              <w14:schemeClr w14:val="tx1"/>
            </w14:solidFill>
          </w14:textFill>
        </w:rPr>
        <w:t>。</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四、草地114.72公顷。其中，天然牧草地0公顷，人工牧草地0公顷；其他草地</w:t>
      </w:r>
      <w:r>
        <w:rPr>
          <w:rFonts w:ascii="Times New Roman" w:hAnsi="Times New Roman" w:eastAsia="方正仿宋简体"/>
          <w:color w:val="000000" w:themeColor="text1"/>
          <w:kern w:val="0"/>
          <w:sz w:val="32"/>
          <w:szCs w:val="32"/>
          <w14:textFill>
            <w14:solidFill>
              <w14:schemeClr w14:val="tx1"/>
            </w14:solidFill>
          </w14:textFill>
        </w:rPr>
        <w:t>114.72</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0.89%</w:t>
      </w:r>
      <w:r>
        <w:rPr>
          <w:rFonts w:ascii="Times New Roman" w:hAnsi="Times New Roman" w:eastAsia="方正仿宋简体"/>
          <w:color w:val="000000" w:themeColor="text1"/>
          <w:sz w:val="32"/>
          <w:szCs w:val="32"/>
          <w14:textFill>
            <w14:solidFill>
              <w14:schemeClr w14:val="tx1"/>
            </w14:solidFill>
          </w14:textFill>
        </w:rPr>
        <w:t>。</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五、湿地170.89公顷。湿地是“三调”新增的一级地类（包括7个二级地类），我区涉及其中1个二级地类，内陆滩涂</w:t>
      </w:r>
      <w:r>
        <w:rPr>
          <w:rFonts w:ascii="Times New Roman" w:hAnsi="Times New Roman" w:eastAsia="方正仿宋简体"/>
          <w:color w:val="000000" w:themeColor="text1"/>
          <w:kern w:val="0"/>
          <w:sz w:val="32"/>
          <w:szCs w:val="32"/>
          <w14:textFill>
            <w14:solidFill>
              <w14:schemeClr w14:val="tx1"/>
            </w14:solidFill>
          </w14:textFill>
        </w:rPr>
        <w:t>170.89</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1.33%</w:t>
      </w:r>
      <w:r>
        <w:rPr>
          <w:rFonts w:ascii="Times New Roman" w:hAnsi="Times New Roman" w:eastAsia="方正仿宋简体"/>
          <w:color w:val="000000" w:themeColor="text1"/>
          <w:sz w:val="32"/>
          <w:szCs w:val="32"/>
          <w14:textFill>
            <w14:solidFill>
              <w14:schemeClr w14:val="tx1"/>
            </w14:solidFill>
          </w14:textFill>
        </w:rPr>
        <w:t>。</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六、城镇村及工矿用地</w:t>
      </w:r>
      <w:r>
        <w:rPr>
          <w:rFonts w:ascii="Times New Roman" w:hAnsi="Times New Roman" w:eastAsia="方正仿宋简体"/>
          <w:color w:val="000000"/>
          <w:sz w:val="32"/>
          <w:szCs w:val="32"/>
        </w:rPr>
        <w:t>1135.02</w:t>
      </w:r>
      <w:r>
        <w:rPr>
          <w:rFonts w:ascii="Times New Roman" w:hAnsi="Times New Roman" w:eastAsia="方正仿宋简体"/>
          <w:color w:val="000000" w:themeColor="text1"/>
          <w:sz w:val="32"/>
          <w:szCs w:val="32"/>
          <w14:textFill>
            <w14:solidFill>
              <w14:schemeClr w14:val="tx1"/>
            </w14:solidFill>
          </w14:textFill>
        </w:rPr>
        <w:t>公顷。其中，建制镇用地</w:t>
      </w:r>
      <w:r>
        <w:rPr>
          <w:rFonts w:ascii="Times New Roman" w:hAnsi="Times New Roman" w:eastAsia="方正仿宋简体"/>
          <w:color w:val="000000" w:themeColor="text1"/>
          <w:kern w:val="0"/>
          <w:sz w:val="32"/>
          <w:szCs w:val="32"/>
          <w14:textFill>
            <w14:solidFill>
              <w14:schemeClr w14:val="tx1"/>
            </w14:solidFill>
          </w14:textFill>
        </w:rPr>
        <w:t>251.2</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1.95%</w:t>
      </w:r>
      <w:r>
        <w:rPr>
          <w:rFonts w:ascii="Times New Roman" w:hAnsi="Times New Roman" w:eastAsia="方正仿宋简体"/>
          <w:color w:val="000000" w:themeColor="text1"/>
          <w:sz w:val="32"/>
          <w:szCs w:val="32"/>
          <w14:textFill>
            <w14:solidFill>
              <w14:schemeClr w14:val="tx1"/>
            </w14:solidFill>
          </w14:textFill>
        </w:rPr>
        <w:t>；村庄用地</w:t>
      </w:r>
      <w:r>
        <w:rPr>
          <w:rFonts w:ascii="Times New Roman" w:hAnsi="Times New Roman" w:eastAsia="方正仿宋简体"/>
          <w:color w:val="000000" w:themeColor="text1"/>
          <w:kern w:val="0"/>
          <w:sz w:val="32"/>
          <w:szCs w:val="32"/>
          <w14:textFill>
            <w14:solidFill>
              <w14:schemeClr w14:val="tx1"/>
            </w14:solidFill>
          </w14:textFill>
        </w:rPr>
        <w:t>742.12</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5.77%</w:t>
      </w:r>
      <w:r>
        <w:rPr>
          <w:rFonts w:ascii="Times New Roman" w:hAnsi="Times New Roman" w:eastAsia="方正仿宋简体"/>
          <w:color w:val="000000" w:themeColor="text1"/>
          <w:sz w:val="32"/>
          <w:szCs w:val="32"/>
          <w14:textFill>
            <w14:solidFill>
              <w14:schemeClr w14:val="tx1"/>
            </w14:solidFill>
          </w14:textFill>
        </w:rPr>
        <w:t>；采矿用地</w:t>
      </w:r>
      <w:r>
        <w:rPr>
          <w:rFonts w:ascii="Times New Roman" w:hAnsi="Times New Roman" w:eastAsia="方正仿宋简体"/>
          <w:color w:val="000000" w:themeColor="text1"/>
          <w:kern w:val="0"/>
          <w:sz w:val="32"/>
          <w:szCs w:val="32"/>
          <w14:textFill>
            <w14:solidFill>
              <w14:schemeClr w14:val="tx1"/>
            </w14:solidFill>
          </w14:textFill>
        </w:rPr>
        <w:t>106.43</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0.83%</w:t>
      </w:r>
      <w:r>
        <w:rPr>
          <w:rFonts w:ascii="Times New Roman" w:hAnsi="Times New Roman" w:eastAsia="方正仿宋简体"/>
          <w:color w:val="000000" w:themeColor="text1"/>
          <w:sz w:val="32"/>
          <w:szCs w:val="32"/>
          <w14:textFill>
            <w14:solidFill>
              <w14:schemeClr w14:val="tx1"/>
            </w14:solidFill>
          </w14:textFill>
        </w:rPr>
        <w:t>；风景名胜及特殊用地</w:t>
      </w:r>
      <w:r>
        <w:rPr>
          <w:rFonts w:ascii="Times New Roman" w:hAnsi="Times New Roman" w:eastAsia="方正仿宋简体"/>
          <w:color w:val="000000" w:themeColor="text1"/>
          <w:kern w:val="0"/>
          <w:sz w:val="32"/>
          <w:szCs w:val="32"/>
          <w14:textFill>
            <w14:solidFill>
              <w14:schemeClr w14:val="tx1"/>
            </w14:solidFill>
          </w14:textFill>
        </w:rPr>
        <w:t>35.27</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0.27%</w:t>
      </w:r>
      <w:r>
        <w:rPr>
          <w:rFonts w:ascii="Times New Roman" w:hAnsi="Times New Roman" w:eastAsia="方正仿宋简体"/>
          <w:color w:val="000000" w:themeColor="text1"/>
          <w:sz w:val="32"/>
          <w:szCs w:val="32"/>
          <w14:textFill>
            <w14:solidFill>
              <w14:schemeClr w14:val="tx1"/>
            </w14:solidFill>
          </w14:textFill>
        </w:rPr>
        <w:t>。</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七、交通运输用地</w:t>
      </w:r>
      <w:r>
        <w:rPr>
          <w:rFonts w:ascii="Times New Roman" w:hAnsi="Times New Roman" w:eastAsia="方正仿宋简体"/>
          <w:color w:val="000000"/>
          <w:sz w:val="32"/>
          <w:szCs w:val="32"/>
        </w:rPr>
        <w:t>475.76</w:t>
      </w:r>
      <w:r>
        <w:rPr>
          <w:rFonts w:ascii="Times New Roman" w:hAnsi="Times New Roman" w:eastAsia="方正仿宋简体"/>
          <w:color w:val="000000" w:themeColor="text1"/>
          <w:sz w:val="32"/>
          <w:szCs w:val="32"/>
          <w14:textFill>
            <w14:solidFill>
              <w14:schemeClr w14:val="tx1"/>
            </w14:solidFill>
          </w14:textFill>
        </w:rPr>
        <w:t>公顷。其中，铁路用地</w:t>
      </w:r>
      <w:r>
        <w:rPr>
          <w:rFonts w:ascii="Times New Roman" w:hAnsi="Times New Roman" w:eastAsia="方正仿宋简体"/>
          <w:bCs/>
          <w:color w:val="000000" w:themeColor="text1"/>
          <w:kern w:val="0"/>
          <w:sz w:val="32"/>
          <w:szCs w:val="32"/>
          <w14:textFill>
            <w14:solidFill>
              <w14:schemeClr w14:val="tx1"/>
            </w14:solidFill>
          </w14:textFill>
        </w:rPr>
        <w:t>37.12</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0.29%</w:t>
      </w:r>
      <w:r>
        <w:rPr>
          <w:rFonts w:ascii="Times New Roman" w:hAnsi="Times New Roman" w:eastAsia="方正仿宋简体"/>
          <w:color w:val="000000" w:themeColor="text1"/>
          <w:sz w:val="32"/>
          <w:szCs w:val="32"/>
          <w14:textFill>
            <w14:solidFill>
              <w14:schemeClr w14:val="tx1"/>
            </w14:solidFill>
          </w14:textFill>
        </w:rPr>
        <w:t>；公路用地</w:t>
      </w:r>
      <w:r>
        <w:rPr>
          <w:rFonts w:ascii="Times New Roman" w:hAnsi="Times New Roman" w:eastAsia="方正仿宋简体"/>
          <w:bCs/>
          <w:color w:val="000000" w:themeColor="text1"/>
          <w:kern w:val="0"/>
          <w:sz w:val="32"/>
          <w:szCs w:val="32"/>
          <w14:textFill>
            <w14:solidFill>
              <w14:schemeClr w14:val="tx1"/>
            </w14:solidFill>
          </w14:textFill>
        </w:rPr>
        <w:t>292.17</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2.27%</w:t>
      </w:r>
      <w:r>
        <w:rPr>
          <w:rFonts w:ascii="Times New Roman" w:hAnsi="Times New Roman" w:eastAsia="方正仿宋简体"/>
          <w:color w:val="000000" w:themeColor="text1"/>
          <w:sz w:val="32"/>
          <w:szCs w:val="32"/>
          <w14:textFill>
            <w14:solidFill>
              <w14:schemeClr w14:val="tx1"/>
            </w14:solidFill>
          </w14:textFill>
        </w:rPr>
        <w:t>；农村道路</w:t>
      </w:r>
      <w:r>
        <w:rPr>
          <w:rFonts w:ascii="Times New Roman" w:hAnsi="Times New Roman" w:eastAsia="方正仿宋简体"/>
          <w:bCs/>
          <w:color w:val="000000" w:themeColor="text1"/>
          <w:kern w:val="0"/>
          <w:sz w:val="32"/>
          <w:szCs w:val="32"/>
          <w14:textFill>
            <w14:solidFill>
              <w14:schemeClr w14:val="tx1"/>
            </w14:solidFill>
          </w14:textFill>
        </w:rPr>
        <w:t>146.47</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1.14%</w:t>
      </w:r>
      <w:r>
        <w:rPr>
          <w:rFonts w:ascii="Times New Roman" w:hAnsi="Times New Roman" w:eastAsia="方正仿宋简体"/>
          <w:color w:val="000000" w:themeColor="text1"/>
          <w:sz w:val="32"/>
          <w:szCs w:val="32"/>
          <w14:textFill>
            <w14:solidFill>
              <w14:schemeClr w14:val="tx1"/>
            </w14:solidFill>
          </w14:textFill>
        </w:rPr>
        <w:t>。</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八、水域及水利设施用地</w:t>
      </w:r>
      <w:r>
        <w:rPr>
          <w:rFonts w:ascii="Times New Roman" w:hAnsi="Times New Roman" w:eastAsia="方正仿宋简体"/>
          <w:color w:val="000000"/>
          <w:sz w:val="32"/>
          <w:szCs w:val="32"/>
        </w:rPr>
        <w:t>3694.18</w:t>
      </w:r>
      <w:r>
        <w:rPr>
          <w:rFonts w:ascii="Times New Roman" w:hAnsi="Times New Roman" w:eastAsia="方正仿宋简体"/>
          <w:color w:val="000000" w:themeColor="text1"/>
          <w:sz w:val="32"/>
          <w:szCs w:val="32"/>
          <w14:textFill>
            <w14:solidFill>
              <w14:schemeClr w14:val="tx1"/>
            </w14:solidFill>
          </w14:textFill>
        </w:rPr>
        <w:t>公顷。其中，河流水面</w:t>
      </w:r>
      <w:r>
        <w:rPr>
          <w:rFonts w:ascii="Times New Roman" w:hAnsi="Times New Roman" w:eastAsia="方正仿宋简体"/>
          <w:color w:val="000000" w:themeColor="text1"/>
          <w:kern w:val="0"/>
          <w:sz w:val="32"/>
          <w:szCs w:val="32"/>
          <w14:textFill>
            <w14:solidFill>
              <w14:schemeClr w14:val="tx1"/>
            </w14:solidFill>
          </w14:textFill>
        </w:rPr>
        <w:t>359.39</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2.79%</w:t>
      </w:r>
      <w:r>
        <w:rPr>
          <w:rFonts w:ascii="Times New Roman" w:hAnsi="Times New Roman" w:eastAsia="方正仿宋简体"/>
          <w:color w:val="000000" w:themeColor="text1"/>
          <w:sz w:val="32"/>
          <w:szCs w:val="32"/>
          <w14:textFill>
            <w14:solidFill>
              <w14:schemeClr w14:val="tx1"/>
            </w14:solidFill>
          </w14:textFill>
        </w:rPr>
        <w:t>；坑塘水面</w:t>
      </w:r>
      <w:r>
        <w:rPr>
          <w:rFonts w:ascii="Times New Roman" w:hAnsi="Times New Roman" w:eastAsia="方正仿宋简体"/>
          <w:color w:val="000000" w:themeColor="text1"/>
          <w:kern w:val="0"/>
          <w:sz w:val="32"/>
          <w:szCs w:val="32"/>
          <w14:textFill>
            <w14:solidFill>
              <w14:schemeClr w14:val="tx1"/>
            </w14:solidFill>
          </w14:textFill>
        </w:rPr>
        <w:t>1812.66</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14.09%</w:t>
      </w:r>
      <w:r>
        <w:rPr>
          <w:rFonts w:ascii="Times New Roman" w:hAnsi="Times New Roman" w:eastAsia="方正仿宋简体"/>
          <w:color w:val="000000" w:themeColor="text1"/>
          <w:sz w:val="32"/>
          <w:szCs w:val="32"/>
          <w14:textFill>
            <w14:solidFill>
              <w14:schemeClr w14:val="tx1"/>
            </w14:solidFill>
          </w14:textFill>
        </w:rPr>
        <w:t>；沟渠</w:t>
      </w:r>
      <w:r>
        <w:rPr>
          <w:rFonts w:ascii="Times New Roman" w:hAnsi="Times New Roman" w:eastAsia="方正仿宋简体"/>
          <w:color w:val="000000" w:themeColor="text1"/>
          <w:kern w:val="0"/>
          <w:sz w:val="32"/>
          <w:szCs w:val="32"/>
          <w14:textFill>
            <w14:solidFill>
              <w14:schemeClr w14:val="tx1"/>
            </w14:solidFill>
          </w14:textFill>
        </w:rPr>
        <w:t>189.84</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1.48%</w:t>
      </w:r>
      <w:r>
        <w:rPr>
          <w:rFonts w:ascii="Times New Roman" w:hAnsi="Times New Roman" w:eastAsia="方正仿宋简体"/>
          <w:color w:val="000000" w:themeColor="text1"/>
          <w:sz w:val="32"/>
          <w:szCs w:val="32"/>
          <w14:textFill>
            <w14:solidFill>
              <w14:schemeClr w14:val="tx1"/>
            </w14:solidFill>
          </w14:textFill>
        </w:rPr>
        <w:t>；水工建筑用地</w:t>
      </w:r>
      <w:r>
        <w:rPr>
          <w:rFonts w:ascii="Times New Roman" w:hAnsi="Times New Roman" w:eastAsia="方正仿宋简体"/>
          <w:color w:val="000000" w:themeColor="text1"/>
          <w:kern w:val="0"/>
          <w:sz w:val="32"/>
          <w:szCs w:val="32"/>
          <w14:textFill>
            <w14:solidFill>
              <w14:schemeClr w14:val="tx1"/>
            </w14:solidFill>
          </w14:textFill>
        </w:rPr>
        <w:t>426.4</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3.31%</w:t>
      </w:r>
      <w:r>
        <w:rPr>
          <w:rFonts w:ascii="Times New Roman" w:hAnsi="Times New Roman" w:eastAsia="方正仿宋简体"/>
          <w:color w:val="000000" w:themeColor="text1"/>
          <w:sz w:val="32"/>
          <w:szCs w:val="32"/>
          <w14:textFill>
            <w14:solidFill>
              <w14:schemeClr w14:val="tx1"/>
            </w14:solidFill>
          </w14:textFill>
        </w:rPr>
        <w:t>；湖泊水面</w:t>
      </w:r>
      <w:r>
        <w:rPr>
          <w:rFonts w:ascii="Times New Roman" w:hAnsi="Times New Roman" w:eastAsia="方正仿宋简体"/>
          <w:bCs/>
          <w:color w:val="000000" w:themeColor="text1"/>
          <w:kern w:val="0"/>
          <w:sz w:val="32"/>
          <w:szCs w:val="32"/>
          <w14:textFill>
            <w14:solidFill>
              <w14:schemeClr w14:val="tx1"/>
            </w14:solidFill>
          </w14:textFill>
        </w:rPr>
        <w:t>905.89</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7.04%</w:t>
      </w:r>
      <w:r>
        <w:rPr>
          <w:rFonts w:ascii="Times New Roman" w:hAnsi="Times New Roman" w:eastAsia="方正仿宋简体"/>
          <w:color w:val="000000" w:themeColor="text1"/>
          <w:sz w:val="32"/>
          <w:szCs w:val="32"/>
          <w14:textFill>
            <w14:solidFill>
              <w14:schemeClr w14:val="tx1"/>
            </w14:solidFill>
          </w14:textFill>
        </w:rPr>
        <w:t>。济宁太白湖新区土地利用类型统计表见表2.2-2。</w:t>
      </w:r>
    </w:p>
    <w:p>
      <w:pPr>
        <w:pStyle w:val="8"/>
        <w:spacing w:line="560" w:lineRule="exact"/>
        <w:ind w:firstLine="0" w:firstLineChars="0"/>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表2.2-2 济宁太白湖新区土地利用类型统计表</w:t>
      </w:r>
    </w:p>
    <w:tbl>
      <w:tblPr>
        <w:tblStyle w:val="27"/>
        <w:tblW w:w="842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175"/>
        <w:gridCol w:w="1395"/>
        <w:gridCol w:w="2010"/>
        <w:gridCol w:w="1560"/>
        <w:gridCol w:w="1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80" w:type="dxa"/>
            <w:shd w:val="clear" w:color="auto" w:fill="auto"/>
            <w:noWrap/>
            <w:vAlign w:val="center"/>
          </w:tcPr>
          <w:p>
            <w:pPr>
              <w:widowControl/>
              <w:spacing w:line="560" w:lineRule="exact"/>
              <w:jc w:val="center"/>
              <w:rPr>
                <w:rFonts w:ascii="Times New Roman" w:hAnsi="Times New Roman" w:eastAsia="方正仿宋简体"/>
                <w:b/>
                <w:color w:val="000000" w:themeColor="text1"/>
                <w:kern w:val="0"/>
                <w:sz w:val="30"/>
                <w:szCs w:val="30"/>
                <w14:textFill>
                  <w14:solidFill>
                    <w14:schemeClr w14:val="tx1"/>
                  </w14:solidFill>
                </w14:textFill>
              </w:rPr>
            </w:pPr>
            <w:r>
              <w:rPr>
                <w:rFonts w:ascii="Times New Roman" w:hAnsi="Times New Roman" w:eastAsia="方正仿宋简体"/>
                <w:b/>
                <w:color w:val="000000" w:themeColor="text1"/>
                <w:kern w:val="0"/>
                <w:sz w:val="30"/>
                <w:szCs w:val="30"/>
                <w14:textFill>
                  <w14:solidFill>
                    <w14:schemeClr w14:val="tx1"/>
                  </w14:solidFill>
                </w14:textFill>
              </w:rPr>
              <w:t>序号</w:t>
            </w:r>
          </w:p>
        </w:tc>
        <w:tc>
          <w:tcPr>
            <w:tcW w:w="1175" w:type="dxa"/>
            <w:shd w:val="clear" w:color="auto" w:fill="auto"/>
            <w:vAlign w:val="center"/>
          </w:tcPr>
          <w:p>
            <w:pPr>
              <w:widowControl/>
              <w:spacing w:line="560" w:lineRule="exact"/>
              <w:jc w:val="center"/>
              <w:rPr>
                <w:rFonts w:ascii="Times New Roman" w:hAnsi="Times New Roman" w:eastAsia="方正仿宋简体"/>
                <w:b/>
                <w:color w:val="000000" w:themeColor="text1"/>
                <w:kern w:val="0"/>
                <w:sz w:val="30"/>
                <w:szCs w:val="30"/>
                <w14:textFill>
                  <w14:solidFill>
                    <w14:schemeClr w14:val="tx1"/>
                  </w14:solidFill>
                </w14:textFill>
              </w:rPr>
            </w:pPr>
            <w:r>
              <w:rPr>
                <w:rFonts w:ascii="Times New Roman" w:hAnsi="Times New Roman" w:eastAsia="方正仿宋简体"/>
                <w:b/>
                <w:color w:val="000000" w:themeColor="text1"/>
                <w:kern w:val="0"/>
                <w:sz w:val="30"/>
                <w:szCs w:val="30"/>
                <w14:textFill>
                  <w14:solidFill>
                    <w14:schemeClr w14:val="tx1"/>
                  </w14:solidFill>
                </w14:textFill>
              </w:rPr>
              <w:t>一级名称</w:t>
            </w:r>
          </w:p>
        </w:tc>
        <w:tc>
          <w:tcPr>
            <w:tcW w:w="1395" w:type="dxa"/>
            <w:shd w:val="clear" w:color="auto" w:fill="auto"/>
            <w:vAlign w:val="center"/>
          </w:tcPr>
          <w:p>
            <w:pPr>
              <w:widowControl/>
              <w:spacing w:line="560" w:lineRule="exact"/>
              <w:jc w:val="center"/>
              <w:rPr>
                <w:rFonts w:ascii="Times New Roman" w:hAnsi="Times New Roman" w:eastAsia="方正仿宋简体"/>
                <w:b/>
                <w:color w:val="000000" w:themeColor="text1"/>
                <w:kern w:val="0"/>
                <w:sz w:val="30"/>
                <w:szCs w:val="30"/>
                <w14:textFill>
                  <w14:solidFill>
                    <w14:schemeClr w14:val="tx1"/>
                  </w14:solidFill>
                </w14:textFill>
              </w:rPr>
            </w:pPr>
            <w:r>
              <w:rPr>
                <w:rFonts w:ascii="Times New Roman" w:hAnsi="Times New Roman" w:eastAsia="方正仿宋简体"/>
                <w:b/>
                <w:color w:val="000000" w:themeColor="text1"/>
                <w:kern w:val="0"/>
                <w:sz w:val="30"/>
                <w:szCs w:val="30"/>
                <w14:textFill>
                  <w14:solidFill>
                    <w14:schemeClr w14:val="tx1"/>
                  </w14:solidFill>
                </w14:textFill>
              </w:rPr>
              <w:t>面积（公顷）</w:t>
            </w:r>
          </w:p>
        </w:tc>
        <w:tc>
          <w:tcPr>
            <w:tcW w:w="2010" w:type="dxa"/>
            <w:shd w:val="clear" w:color="auto" w:fill="auto"/>
            <w:vAlign w:val="center"/>
          </w:tcPr>
          <w:p>
            <w:pPr>
              <w:widowControl/>
              <w:spacing w:line="560" w:lineRule="exact"/>
              <w:jc w:val="center"/>
              <w:rPr>
                <w:rFonts w:ascii="Times New Roman" w:hAnsi="Times New Roman" w:eastAsia="方正仿宋简体"/>
                <w:b/>
                <w:color w:val="000000" w:themeColor="text1"/>
                <w:kern w:val="0"/>
                <w:sz w:val="30"/>
                <w:szCs w:val="30"/>
                <w14:textFill>
                  <w14:solidFill>
                    <w14:schemeClr w14:val="tx1"/>
                  </w14:solidFill>
                </w14:textFill>
              </w:rPr>
            </w:pPr>
            <w:r>
              <w:rPr>
                <w:rFonts w:ascii="Times New Roman" w:hAnsi="Times New Roman" w:eastAsia="方正仿宋简体"/>
                <w:b/>
                <w:color w:val="000000" w:themeColor="text1"/>
                <w:kern w:val="0"/>
                <w:sz w:val="30"/>
                <w:szCs w:val="30"/>
                <w14:textFill>
                  <w14:solidFill>
                    <w14:schemeClr w14:val="tx1"/>
                  </w14:solidFill>
                </w14:textFill>
              </w:rPr>
              <w:t>二级名称</w:t>
            </w:r>
          </w:p>
        </w:tc>
        <w:tc>
          <w:tcPr>
            <w:tcW w:w="1560" w:type="dxa"/>
            <w:shd w:val="clear" w:color="000000" w:fill="FFFFFF"/>
            <w:vAlign w:val="center"/>
          </w:tcPr>
          <w:p>
            <w:pPr>
              <w:widowControl/>
              <w:spacing w:line="560" w:lineRule="exact"/>
              <w:jc w:val="center"/>
              <w:rPr>
                <w:rFonts w:ascii="Times New Roman" w:hAnsi="Times New Roman" w:eastAsia="方正仿宋简体"/>
                <w:b/>
                <w:color w:val="000000" w:themeColor="text1"/>
                <w:kern w:val="0"/>
                <w:sz w:val="30"/>
                <w:szCs w:val="30"/>
                <w14:textFill>
                  <w14:solidFill>
                    <w14:schemeClr w14:val="tx1"/>
                  </w14:solidFill>
                </w14:textFill>
              </w:rPr>
            </w:pPr>
            <w:r>
              <w:rPr>
                <w:rFonts w:ascii="Times New Roman" w:hAnsi="Times New Roman" w:eastAsia="方正仿宋简体"/>
                <w:b/>
                <w:color w:val="000000" w:themeColor="text1"/>
                <w:kern w:val="0"/>
                <w:sz w:val="30"/>
                <w:szCs w:val="30"/>
                <w14:textFill>
                  <w14:solidFill>
                    <w14:schemeClr w14:val="tx1"/>
                  </w14:solidFill>
                </w14:textFill>
              </w:rPr>
              <w:t>面积（公顷）</w:t>
            </w:r>
          </w:p>
        </w:tc>
        <w:tc>
          <w:tcPr>
            <w:tcW w:w="1609" w:type="dxa"/>
            <w:shd w:val="clear" w:color="000000" w:fill="FFFFFF"/>
            <w:vAlign w:val="center"/>
          </w:tcPr>
          <w:p>
            <w:pPr>
              <w:widowControl/>
              <w:spacing w:line="560" w:lineRule="exact"/>
              <w:jc w:val="center"/>
              <w:rPr>
                <w:rFonts w:ascii="Times New Roman" w:hAnsi="Times New Roman" w:eastAsia="方正仿宋简体"/>
                <w:b/>
                <w:color w:val="000000" w:themeColor="text1"/>
                <w:kern w:val="0"/>
                <w:sz w:val="30"/>
                <w:szCs w:val="30"/>
                <w14:textFill>
                  <w14:solidFill>
                    <w14:schemeClr w14:val="tx1"/>
                  </w14:solidFill>
                </w14:textFill>
              </w:rPr>
            </w:pPr>
            <w:r>
              <w:rPr>
                <w:rFonts w:ascii="Times New Roman" w:hAnsi="Times New Roman" w:eastAsia="方正仿宋简体"/>
                <w:b/>
                <w:color w:val="000000" w:themeColor="text1"/>
                <w:kern w:val="0"/>
                <w:sz w:val="30"/>
                <w:szCs w:val="30"/>
                <w14:textFill>
                  <w14:solidFill>
                    <w14:schemeClr w14:val="tx1"/>
                  </w14:solidFill>
                </w14:textFill>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w:t>
            </w:r>
          </w:p>
        </w:tc>
        <w:tc>
          <w:tcPr>
            <w:tcW w:w="1175" w:type="dxa"/>
            <w:vMerge w:val="restart"/>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耕地</w:t>
            </w:r>
          </w:p>
        </w:tc>
        <w:tc>
          <w:tcPr>
            <w:tcW w:w="1395" w:type="dxa"/>
            <w:vMerge w:val="restart"/>
            <w:shd w:val="clear" w:color="auto" w:fill="auto"/>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3540.94</w:t>
            </w: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水田</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13.58</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水浇地</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3165.58</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24.61%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3</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旱地</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361.78</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4</w:t>
            </w:r>
          </w:p>
        </w:tc>
        <w:tc>
          <w:tcPr>
            <w:tcW w:w="1175" w:type="dxa"/>
            <w:vMerge w:val="restart"/>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种植园地</w:t>
            </w:r>
          </w:p>
        </w:tc>
        <w:tc>
          <w:tcPr>
            <w:tcW w:w="1395" w:type="dxa"/>
            <w:vMerge w:val="restart"/>
            <w:shd w:val="clear" w:color="auto" w:fill="auto"/>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235.31</w:t>
            </w: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果园</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213.01</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5</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茶园</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0</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6</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其它园地</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22.30</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7</w:t>
            </w:r>
          </w:p>
        </w:tc>
        <w:tc>
          <w:tcPr>
            <w:tcW w:w="1175" w:type="dxa"/>
            <w:vMerge w:val="restart"/>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林地</w:t>
            </w:r>
          </w:p>
        </w:tc>
        <w:tc>
          <w:tcPr>
            <w:tcW w:w="1395" w:type="dxa"/>
            <w:vMerge w:val="restart"/>
            <w:shd w:val="clear" w:color="auto" w:fill="auto"/>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1308.17</w:t>
            </w: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乔木林地</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793.01</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8</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竹林地</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0</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9</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灌木林地</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0</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10</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其他林地</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515.16</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11</w:t>
            </w:r>
          </w:p>
        </w:tc>
        <w:tc>
          <w:tcPr>
            <w:tcW w:w="1175" w:type="dxa"/>
            <w:vMerge w:val="restart"/>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草地</w:t>
            </w:r>
          </w:p>
        </w:tc>
        <w:tc>
          <w:tcPr>
            <w:tcW w:w="1395" w:type="dxa"/>
            <w:vMerge w:val="restart"/>
            <w:shd w:val="clear" w:color="auto" w:fill="auto"/>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114.72</w:t>
            </w: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天然牧草地</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0</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12</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人工牧草地</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0</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13</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其他草地</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114.72</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14</w:t>
            </w:r>
          </w:p>
        </w:tc>
        <w:tc>
          <w:tcPr>
            <w:tcW w:w="1175" w:type="dxa"/>
            <w:vMerge w:val="restart"/>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湿地</w:t>
            </w:r>
          </w:p>
        </w:tc>
        <w:tc>
          <w:tcPr>
            <w:tcW w:w="1395" w:type="dxa"/>
            <w:vMerge w:val="restart"/>
            <w:shd w:val="clear" w:color="auto" w:fill="auto"/>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170.89</w:t>
            </w: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沼泽草地</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0</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15</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内陆滩涂</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170.89</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16</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沼泽地</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0</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17</w:t>
            </w:r>
          </w:p>
        </w:tc>
        <w:tc>
          <w:tcPr>
            <w:tcW w:w="1175" w:type="dxa"/>
            <w:vMerge w:val="restart"/>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城镇村及工矿用地</w:t>
            </w:r>
          </w:p>
        </w:tc>
        <w:tc>
          <w:tcPr>
            <w:tcW w:w="1395" w:type="dxa"/>
            <w:vMerge w:val="restart"/>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1135.02</w:t>
            </w: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建制镇</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251.2</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18</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村庄</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742.12</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19</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采矿用地</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106.43</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20</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风景名胜及特殊用地</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35.27</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21</w:t>
            </w:r>
          </w:p>
        </w:tc>
        <w:tc>
          <w:tcPr>
            <w:tcW w:w="1175" w:type="dxa"/>
            <w:vMerge w:val="restart"/>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交通运输用地</w:t>
            </w:r>
          </w:p>
        </w:tc>
        <w:tc>
          <w:tcPr>
            <w:tcW w:w="1395" w:type="dxa"/>
            <w:vMerge w:val="restart"/>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475.76</w:t>
            </w: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铁路</w:t>
            </w:r>
          </w:p>
        </w:tc>
        <w:tc>
          <w:tcPr>
            <w:tcW w:w="1560" w:type="dxa"/>
            <w:shd w:val="clear" w:color="000000" w:fill="FFFFFF"/>
            <w:vAlign w:val="center"/>
          </w:tcPr>
          <w:p>
            <w:pPr>
              <w:widowControl/>
              <w:adjustRightInd w:val="0"/>
              <w:snapToGrid w:val="0"/>
              <w:jc w:val="center"/>
              <w:rPr>
                <w:rFonts w:ascii="Times New Roman" w:hAnsi="Times New Roman" w:eastAsia="方正仿宋简体"/>
                <w:bCs/>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37.12</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22</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公路</w:t>
            </w:r>
          </w:p>
        </w:tc>
        <w:tc>
          <w:tcPr>
            <w:tcW w:w="1560" w:type="dxa"/>
            <w:shd w:val="clear" w:color="000000" w:fill="FFFFFF"/>
            <w:vAlign w:val="center"/>
          </w:tcPr>
          <w:p>
            <w:pPr>
              <w:widowControl/>
              <w:adjustRightInd w:val="0"/>
              <w:snapToGrid w:val="0"/>
              <w:jc w:val="center"/>
              <w:rPr>
                <w:rFonts w:ascii="Times New Roman" w:hAnsi="Times New Roman" w:eastAsia="方正仿宋简体"/>
                <w:bCs/>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292.17</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23</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农村道路</w:t>
            </w:r>
          </w:p>
        </w:tc>
        <w:tc>
          <w:tcPr>
            <w:tcW w:w="1560" w:type="dxa"/>
            <w:shd w:val="clear" w:color="000000" w:fill="FFFFFF"/>
            <w:vAlign w:val="center"/>
          </w:tcPr>
          <w:p>
            <w:pPr>
              <w:widowControl/>
              <w:adjustRightInd w:val="0"/>
              <w:snapToGrid w:val="0"/>
              <w:jc w:val="center"/>
              <w:rPr>
                <w:rFonts w:ascii="Times New Roman" w:hAnsi="Times New Roman" w:eastAsia="方正仿宋简体"/>
                <w:bCs/>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146.47</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24</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轨道交通用地</w:t>
            </w:r>
          </w:p>
        </w:tc>
        <w:tc>
          <w:tcPr>
            <w:tcW w:w="1560" w:type="dxa"/>
            <w:shd w:val="clear" w:color="000000" w:fill="FFFFFF"/>
            <w:vAlign w:val="center"/>
          </w:tcPr>
          <w:p>
            <w:pPr>
              <w:widowControl/>
              <w:adjustRightInd w:val="0"/>
              <w:snapToGrid w:val="0"/>
              <w:jc w:val="center"/>
              <w:rPr>
                <w:rFonts w:ascii="Times New Roman" w:hAnsi="Times New Roman" w:eastAsia="方正仿宋简体"/>
                <w:bCs/>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0</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25</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管道运输用地</w:t>
            </w:r>
          </w:p>
        </w:tc>
        <w:tc>
          <w:tcPr>
            <w:tcW w:w="1560" w:type="dxa"/>
            <w:shd w:val="clear" w:color="000000" w:fill="FFFFFF"/>
            <w:vAlign w:val="center"/>
          </w:tcPr>
          <w:p>
            <w:pPr>
              <w:widowControl/>
              <w:adjustRightInd w:val="0"/>
              <w:snapToGrid w:val="0"/>
              <w:jc w:val="center"/>
              <w:rPr>
                <w:rFonts w:ascii="Times New Roman" w:hAnsi="Times New Roman" w:eastAsia="方正仿宋简体"/>
                <w:bCs/>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0</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26</w:t>
            </w:r>
          </w:p>
        </w:tc>
        <w:tc>
          <w:tcPr>
            <w:tcW w:w="1175" w:type="dxa"/>
            <w:vMerge w:val="restart"/>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水域及水利设施用地</w:t>
            </w:r>
          </w:p>
        </w:tc>
        <w:tc>
          <w:tcPr>
            <w:tcW w:w="1395" w:type="dxa"/>
            <w:vMerge w:val="restart"/>
            <w:shd w:val="clear" w:color="auto" w:fill="auto"/>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3694.18</w:t>
            </w: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河流水面</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359.39</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27</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水库水面</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0</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28</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坑塘水面</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1812.66</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29</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沟渠</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189.84</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30</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水工建筑用地</w:t>
            </w:r>
          </w:p>
        </w:tc>
        <w:tc>
          <w:tcPr>
            <w:tcW w:w="1560" w:type="dxa"/>
            <w:shd w:val="clear" w:color="000000" w:fill="FFFFFF"/>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426.4</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shd w:val="clear" w:color="auto" w:fill="auto"/>
            <w:noWrap/>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31</w:t>
            </w:r>
          </w:p>
        </w:tc>
        <w:tc>
          <w:tcPr>
            <w:tcW w:w="117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95" w:type="dxa"/>
            <w:vMerge w:val="continue"/>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2010" w:type="dxa"/>
            <w:shd w:val="clear" w:color="auto" w:fill="auto"/>
            <w:vAlign w:val="center"/>
          </w:tcPr>
          <w:p>
            <w:pPr>
              <w:widowControl/>
              <w:adjustRightInd w:val="0"/>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湖泊水面</w:t>
            </w:r>
          </w:p>
        </w:tc>
        <w:tc>
          <w:tcPr>
            <w:tcW w:w="1560" w:type="dxa"/>
            <w:shd w:val="clear" w:color="000000" w:fill="FFFFFF"/>
            <w:vAlign w:val="center"/>
          </w:tcPr>
          <w:p>
            <w:pPr>
              <w:widowControl/>
              <w:adjustRightInd w:val="0"/>
              <w:snapToGrid w:val="0"/>
              <w:jc w:val="center"/>
              <w:rPr>
                <w:rFonts w:ascii="Times New Roman" w:hAnsi="Times New Roman" w:eastAsia="方正仿宋简体"/>
                <w:bCs/>
                <w:color w:val="000000" w:themeColor="text1"/>
                <w:kern w:val="0"/>
                <w:sz w:val="28"/>
                <w:szCs w:val="28"/>
                <w14:textFill>
                  <w14:solidFill>
                    <w14:schemeClr w14:val="tx1"/>
                  </w14:solidFill>
                </w14:textFill>
              </w:rPr>
            </w:pPr>
            <w:r>
              <w:rPr>
                <w:rFonts w:ascii="Times New Roman" w:hAnsi="Times New Roman" w:eastAsia="方正仿宋简体"/>
                <w:bCs/>
                <w:color w:val="000000" w:themeColor="text1"/>
                <w:kern w:val="0"/>
                <w:sz w:val="28"/>
                <w:szCs w:val="28"/>
                <w14:textFill>
                  <w14:solidFill>
                    <w14:schemeClr w14:val="tx1"/>
                  </w14:solidFill>
                </w14:textFill>
              </w:rPr>
              <w:t>905.89</w:t>
            </w:r>
          </w:p>
        </w:tc>
        <w:tc>
          <w:tcPr>
            <w:tcW w:w="1609" w:type="dxa"/>
            <w:shd w:val="clear" w:color="000000" w:fill="FFFFFF"/>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7.04%</w:t>
            </w:r>
          </w:p>
        </w:tc>
      </w:tr>
    </w:tbl>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120" w:name="_Toc119856282"/>
      <w:bookmarkStart w:id="121" w:name="_Toc138888963"/>
      <w:bookmarkStart w:id="122" w:name="_Toc119835892"/>
      <w:bookmarkStart w:id="123" w:name="_Toc119856670"/>
      <w:bookmarkStart w:id="124" w:name="_Toc119849210"/>
      <w:bookmarkStart w:id="125" w:name="_Toc119843215"/>
      <w:r>
        <w:rPr>
          <w:rFonts w:ascii="Times New Roman" w:hAnsi="Times New Roman" w:eastAsia="方正仿宋简体"/>
          <w:color w:val="000000" w:themeColor="text1"/>
          <w14:textFill>
            <w14:solidFill>
              <w14:schemeClr w14:val="tx1"/>
            </w14:solidFill>
          </w14:textFill>
        </w:rPr>
        <w:t>2.2.5畜禽粪污资源化利用相关产业发展情况</w:t>
      </w:r>
      <w:bookmarkEnd w:id="120"/>
      <w:bookmarkEnd w:id="121"/>
      <w:bookmarkEnd w:id="122"/>
      <w:bookmarkEnd w:id="123"/>
      <w:bookmarkEnd w:id="124"/>
      <w:bookmarkEnd w:id="125"/>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济宁太白湖新区畜禽养殖规模化率比较低，畜禽粪污资源化利用相关产业发展总体滞后，畜禽粪污资源化利用相关产业主要有：济宁三强农牧科技有限公司三强乳业农牧生态科技园项目大型沼气工程建设处理常年存栏奶牛3000头的厌氧反应装置1000m</w:t>
      </w:r>
      <w:r>
        <w:rPr>
          <w:rFonts w:ascii="Times New Roman" w:hAnsi="Times New Roman" w:eastAsia="方正仿宋简体"/>
          <w:color w:val="000000" w:themeColor="text1"/>
          <w:sz w:val="32"/>
          <w:szCs w:val="32"/>
          <w:vertAlign w:val="superscript"/>
          <w14:textFill>
            <w14:solidFill>
              <w14:schemeClr w14:val="tx1"/>
            </w14:solidFill>
          </w14:textFill>
        </w:rPr>
        <w:t>3</w:t>
      </w:r>
      <w:r>
        <w:rPr>
          <w:rFonts w:ascii="Times New Roman" w:hAnsi="Times New Roman" w:eastAsia="方正仿宋简体"/>
          <w:color w:val="000000" w:themeColor="text1"/>
          <w:sz w:val="32"/>
          <w:szCs w:val="32"/>
          <w14:textFill>
            <w14:solidFill>
              <w14:schemeClr w14:val="tx1"/>
            </w14:solidFill>
          </w14:textFill>
        </w:rPr>
        <w:t>，场内养殖废水一同排入场内粪污处理系统（格栅+收集池+固液分离+厌氧发酵罐）进一步处理。设计处理规模为80m</w:t>
      </w:r>
      <w:r>
        <w:rPr>
          <w:rFonts w:ascii="Times New Roman" w:hAnsi="Times New Roman" w:eastAsia="方正仿宋简体"/>
          <w:color w:val="000000" w:themeColor="text1"/>
          <w:sz w:val="32"/>
          <w:szCs w:val="32"/>
          <w:vertAlign w:val="superscript"/>
          <w14:textFill>
            <w14:solidFill>
              <w14:schemeClr w14:val="tx1"/>
            </w14:solidFill>
          </w14:textFill>
        </w:rPr>
        <w:t>3</w:t>
      </w:r>
      <w:r>
        <w:rPr>
          <w:rFonts w:ascii="Times New Roman" w:hAnsi="Times New Roman" w:eastAsia="方正仿宋简体"/>
          <w:color w:val="000000" w:themeColor="text1"/>
          <w:sz w:val="32"/>
          <w:szCs w:val="32"/>
          <w14:textFill>
            <w14:solidFill>
              <w14:schemeClr w14:val="tx1"/>
            </w14:solidFill>
          </w14:textFill>
        </w:rPr>
        <w:t>/d，处理后的废水存至沼液池可作为液体有机肥</w:t>
      </w:r>
      <w:r>
        <w:rPr>
          <w:rFonts w:hint="eastAsia" w:ascii="Times New Roman" w:hAnsi="Times New Roman" w:eastAsia="方正仿宋简体"/>
          <w:color w:val="000000" w:themeColor="text1"/>
          <w:sz w:val="32"/>
          <w:szCs w:val="32"/>
          <w14:textFill>
            <w14:solidFill>
              <w14:schemeClr w14:val="tx1"/>
            </w14:solidFill>
          </w14:textFill>
        </w:rPr>
        <w:t>，施撒至场内种植区及周边农田。固液分离后的粪渣与干清粪粪渣，由异位发酵床发酵后作为有机肥用于场内种植区及周边农田施肥。</w:t>
      </w:r>
      <w:r>
        <w:rPr>
          <w:rFonts w:ascii="Times New Roman" w:hAnsi="Times New Roman" w:eastAsia="方正仿宋简体"/>
          <w:color w:val="000000" w:themeColor="text1"/>
          <w:sz w:val="32"/>
          <w:szCs w:val="32"/>
          <w14:textFill>
            <w14:solidFill>
              <w14:schemeClr w14:val="tx1"/>
            </w14:solidFill>
          </w14:textFill>
        </w:rPr>
        <w:t>年产沼气8365m</w:t>
      </w:r>
      <w:r>
        <w:rPr>
          <w:rFonts w:ascii="Times New Roman" w:hAnsi="Times New Roman" w:eastAsia="方正仿宋简体"/>
          <w:color w:val="000000" w:themeColor="text1"/>
          <w:sz w:val="32"/>
          <w:szCs w:val="32"/>
          <w:vertAlign w:val="superscript"/>
          <w14:textFill>
            <w14:solidFill>
              <w14:schemeClr w14:val="tx1"/>
            </w14:solidFill>
          </w14:textFill>
        </w:rPr>
        <w:t>3</w:t>
      </w:r>
      <w:r>
        <w:rPr>
          <w:rFonts w:ascii="Times New Roman" w:hAnsi="Times New Roman" w:eastAsia="方正仿宋简体"/>
          <w:color w:val="000000" w:themeColor="text1"/>
          <w:sz w:val="32"/>
          <w:szCs w:val="32"/>
          <w14:textFill>
            <w14:solidFill>
              <w14:schemeClr w14:val="tx1"/>
            </w14:solidFill>
          </w14:textFill>
        </w:rPr>
        <w:t>/a（22.92m</w:t>
      </w:r>
      <w:r>
        <w:rPr>
          <w:rFonts w:ascii="Times New Roman" w:hAnsi="Times New Roman" w:eastAsia="方正仿宋简体"/>
          <w:color w:val="000000" w:themeColor="text1"/>
          <w:sz w:val="32"/>
          <w:szCs w:val="32"/>
          <w:vertAlign w:val="superscript"/>
          <w14:textFill>
            <w14:solidFill>
              <w14:schemeClr w14:val="tx1"/>
            </w14:solidFill>
          </w14:textFill>
        </w:rPr>
        <w:t>3</w:t>
      </w:r>
      <w:r>
        <w:rPr>
          <w:rFonts w:ascii="Times New Roman" w:hAnsi="Times New Roman" w:eastAsia="方正仿宋简体"/>
          <w:color w:val="000000" w:themeColor="text1"/>
          <w:sz w:val="32"/>
          <w:szCs w:val="32"/>
          <w14:textFill>
            <w14:solidFill>
              <w14:schemeClr w14:val="tx1"/>
            </w14:solidFill>
          </w14:textFill>
        </w:rPr>
        <w:t>/d）。（项目产生的沼气用于场内燃气锅炉燃烧，加热热水后供场区使用。），设有1个异位发酵床，位于主牧场区，面积为6000m</w:t>
      </w:r>
      <w:r>
        <w:rPr>
          <w:rFonts w:ascii="Times New Roman" w:hAnsi="Times New Roman" w:eastAsia="方正仿宋简体"/>
          <w:color w:val="000000" w:themeColor="text1"/>
          <w:sz w:val="32"/>
          <w:szCs w:val="32"/>
          <w:vertAlign w:val="superscript"/>
          <w14:textFill>
            <w14:solidFill>
              <w14:schemeClr w14:val="tx1"/>
            </w14:solidFill>
          </w14:textFill>
        </w:rPr>
        <w:t>2</w:t>
      </w:r>
      <w:r>
        <w:rPr>
          <w:rFonts w:ascii="Times New Roman" w:hAnsi="Times New Roman" w:eastAsia="方正仿宋简体"/>
          <w:color w:val="000000" w:themeColor="text1"/>
          <w:sz w:val="32"/>
          <w:szCs w:val="32"/>
          <w14:textFill>
            <w14:solidFill>
              <w14:schemeClr w14:val="tx1"/>
            </w14:solidFill>
          </w14:textFill>
        </w:rPr>
        <w:t>，钢结构阳光棚，半封闭建筑。年产有机肥8600t，沼液肥19440.38m</w:t>
      </w:r>
      <w:r>
        <w:rPr>
          <w:rFonts w:ascii="Times New Roman" w:hAnsi="Times New Roman" w:eastAsia="方正仿宋简体"/>
          <w:color w:val="000000" w:themeColor="text1"/>
          <w:sz w:val="32"/>
          <w:szCs w:val="32"/>
          <w:vertAlign w:val="superscript"/>
          <w14:textFill>
            <w14:solidFill>
              <w14:schemeClr w14:val="tx1"/>
            </w14:solidFill>
          </w14:textFill>
        </w:rPr>
        <w:t>3</w:t>
      </w:r>
      <w:r>
        <w:rPr>
          <w:rFonts w:ascii="Times New Roman" w:hAnsi="Times New Roman" w:eastAsia="方正仿宋简体"/>
          <w:color w:val="000000" w:themeColor="text1"/>
          <w:sz w:val="32"/>
          <w:szCs w:val="32"/>
          <w14:textFill>
            <w14:solidFill>
              <w14:schemeClr w14:val="tx1"/>
            </w14:solidFill>
          </w14:textFill>
        </w:rPr>
        <w:t>/a。</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济宁太白湖新区‘五个行动’加强农业生态环境保护和治理”的实施畜禽粪污资源化利用行动中：以粪污处理池、沼气池等建设为重点治污模式，通过还田、沼气、堆肥、培养料等方式，改善农村卫生环境条件，达到了节能减排、防治农业面源污染的目的。</w:t>
      </w:r>
    </w:p>
    <w:p>
      <w:pPr>
        <w:pStyle w:val="3"/>
      </w:pPr>
      <w:bookmarkStart w:id="126" w:name="_Toc119849212"/>
      <w:bookmarkStart w:id="127" w:name="_Toc119856672"/>
      <w:bookmarkStart w:id="128" w:name="_Toc138888964"/>
      <w:bookmarkStart w:id="129" w:name="_Toc119835894"/>
      <w:bookmarkStart w:id="130" w:name="_Toc119843217"/>
      <w:bookmarkStart w:id="131" w:name="_Toc119856284"/>
      <w:r>
        <w:t>2.3生态环境概况</w:t>
      </w:r>
      <w:bookmarkEnd w:id="126"/>
      <w:bookmarkEnd w:id="127"/>
      <w:bookmarkEnd w:id="128"/>
      <w:bookmarkEnd w:id="129"/>
      <w:bookmarkEnd w:id="130"/>
      <w:bookmarkEnd w:id="131"/>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132" w:name="_Toc138888965"/>
      <w:r>
        <w:rPr>
          <w:rFonts w:ascii="Times New Roman" w:hAnsi="Times New Roman" w:eastAsia="方正仿宋简体"/>
          <w:color w:val="000000" w:themeColor="text1"/>
          <w14:textFill>
            <w14:solidFill>
              <w14:schemeClr w14:val="tx1"/>
            </w14:solidFill>
          </w14:textFill>
        </w:rPr>
        <w:t>2.3.1环境功能区及红线区</w:t>
      </w:r>
      <w:bookmarkEnd w:id="132"/>
    </w:p>
    <w:p>
      <w:pPr>
        <w:adjustRightInd w:val="0"/>
        <w:snapToGrid w:val="0"/>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根据关于印发《济宁市“三线一单”生态环境分区管控方案》的通知（济政字〔2021〕27 号），济宁市“三线一单”陆域环境管控单元汇总情况见表 2.3-1。</w:t>
      </w:r>
    </w:p>
    <w:p>
      <w:pPr>
        <w:adjustRightInd w:val="0"/>
        <w:snapToGrid w:val="0"/>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sectPr>
          <w:headerReference r:id="rId7" w:type="default"/>
          <w:pgSz w:w="11906" w:h="16838"/>
          <w:pgMar w:top="2098" w:right="1588" w:bottom="2098" w:left="1588" w:header="851" w:footer="992" w:gutter="0"/>
          <w:cols w:space="425" w:num="1"/>
          <w:docGrid w:type="lines" w:linePitch="326" w:charSpace="0"/>
        </w:sectPr>
      </w:pPr>
    </w:p>
    <w:p>
      <w:pPr>
        <w:adjustRightInd w:val="0"/>
        <w:snapToGrid w:val="0"/>
        <w:jc w:val="center"/>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sz w:val="32"/>
          <w:szCs w:val="32"/>
        </w:rPr>
        <w:drawing>
          <wp:inline distT="0" distB="0" distL="0" distR="0">
            <wp:extent cx="6991350" cy="493776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990332" cy="4937366"/>
                    </a:xfrm>
                    <a:prstGeom prst="rect">
                      <a:avLst/>
                    </a:prstGeom>
                    <a:noFill/>
                    <a:ln>
                      <a:noFill/>
                    </a:ln>
                  </pic:spPr>
                </pic:pic>
              </a:graphicData>
            </a:graphic>
          </wp:inline>
        </w:drawing>
      </w:r>
    </w:p>
    <w:p>
      <w:pPr>
        <w:adjustRightInd w:val="0"/>
        <w:snapToGrid w:val="0"/>
        <w:spacing w:line="560" w:lineRule="exact"/>
        <w:ind w:firstLine="643" w:firstLineChars="200"/>
        <w:jc w:val="center"/>
        <w:rPr>
          <w:rFonts w:ascii="Times New Roman" w:hAnsi="Times New Roman" w:eastAsia="方正仿宋简体"/>
          <w:b/>
          <w:sz w:val="32"/>
          <w:szCs w:val="32"/>
        </w:rPr>
      </w:pPr>
      <w:r>
        <w:rPr>
          <w:rFonts w:ascii="Times New Roman" w:hAnsi="Times New Roman" w:eastAsia="方正仿宋简体"/>
          <w:b/>
          <w:sz w:val="32"/>
          <w:szCs w:val="32"/>
        </w:rPr>
        <w:t>图</w:t>
      </w:r>
      <w:r>
        <w:rPr>
          <w:rFonts w:ascii="Times New Roman" w:hAnsi="Times New Roman" w:eastAsia="方正仿宋简体"/>
          <w:b/>
          <w:spacing w:val="-1"/>
          <w:sz w:val="32"/>
          <w:szCs w:val="32"/>
        </w:rPr>
        <w:t xml:space="preserve"> </w:t>
      </w:r>
      <w:r>
        <w:rPr>
          <w:rFonts w:ascii="Times New Roman" w:hAnsi="Times New Roman" w:eastAsia="方正仿宋简体"/>
          <w:b/>
          <w:sz w:val="32"/>
          <w:szCs w:val="32"/>
        </w:rPr>
        <w:t>2.3-1</w:t>
      </w:r>
      <w:r>
        <w:rPr>
          <w:rFonts w:ascii="Times New Roman" w:hAnsi="Times New Roman" w:eastAsia="方正仿宋简体"/>
          <w:b/>
          <w:sz w:val="32"/>
          <w:szCs w:val="32"/>
        </w:rPr>
        <w:tab/>
      </w:r>
      <w:r>
        <w:rPr>
          <w:rFonts w:ascii="Times New Roman" w:hAnsi="Times New Roman" w:eastAsia="方正仿宋简体"/>
          <w:b/>
          <w:sz w:val="32"/>
          <w:szCs w:val="32"/>
        </w:rPr>
        <w:t>济宁市环境管控单元图</w:t>
      </w:r>
    </w:p>
    <w:p>
      <w:pPr>
        <w:adjustRightInd w:val="0"/>
        <w:snapToGrid w:val="0"/>
        <w:spacing w:line="560" w:lineRule="exact"/>
        <w:ind w:firstLine="643" w:firstLineChars="200"/>
        <w:rPr>
          <w:rFonts w:ascii="Times New Roman" w:hAnsi="Times New Roman" w:eastAsia="方正仿宋简体"/>
          <w:b/>
          <w:sz w:val="32"/>
          <w:szCs w:val="32"/>
        </w:rPr>
        <w:sectPr>
          <w:pgSz w:w="16838" w:h="11906" w:orient="landscape"/>
          <w:pgMar w:top="1134" w:right="1440" w:bottom="1560" w:left="1440" w:header="851" w:footer="992" w:gutter="0"/>
          <w:cols w:space="425" w:num="1"/>
          <w:docGrid w:type="lines" w:linePitch="326" w:charSpace="0"/>
        </w:sectPr>
      </w:pPr>
    </w:p>
    <w:p>
      <w:pPr>
        <w:adjustRightInd w:val="0"/>
        <w:snapToGrid w:val="0"/>
        <w:spacing w:line="560" w:lineRule="exact"/>
        <w:jc w:val="right"/>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b/>
          <w:sz w:val="32"/>
          <w:szCs w:val="32"/>
        </w:rPr>
        <w:t>表</w:t>
      </w:r>
      <w:r>
        <w:rPr>
          <w:rFonts w:ascii="Times New Roman" w:hAnsi="Times New Roman" w:eastAsia="方正仿宋简体"/>
          <w:b/>
          <w:spacing w:val="-1"/>
          <w:sz w:val="32"/>
          <w:szCs w:val="32"/>
        </w:rPr>
        <w:t xml:space="preserve"> </w:t>
      </w:r>
      <w:r>
        <w:rPr>
          <w:rFonts w:ascii="Times New Roman" w:hAnsi="Times New Roman" w:eastAsia="方正仿宋简体"/>
          <w:b/>
          <w:sz w:val="32"/>
          <w:szCs w:val="32"/>
        </w:rPr>
        <w:t>2.3-1</w:t>
      </w:r>
      <w:r>
        <w:rPr>
          <w:rFonts w:ascii="Times New Roman" w:hAnsi="Times New Roman" w:eastAsia="方正仿宋简体"/>
          <w:b/>
          <w:sz w:val="32"/>
          <w:szCs w:val="32"/>
        </w:rPr>
        <w:tab/>
      </w:r>
      <w:r>
        <w:rPr>
          <w:rFonts w:ascii="Times New Roman" w:hAnsi="Times New Roman" w:eastAsia="方正仿宋简体"/>
          <w:b/>
          <w:sz w:val="32"/>
          <w:szCs w:val="32"/>
        </w:rPr>
        <w:t>太白湖新区“三线一单”陆域环境管控单元汇总表</w:t>
      </w:r>
      <w:r>
        <w:rPr>
          <w:rFonts w:ascii="Times New Roman" w:hAnsi="Times New Roman" w:eastAsia="方正仿宋简体"/>
          <w:b/>
          <w:sz w:val="32"/>
          <w:szCs w:val="32"/>
        </w:rPr>
        <w:tab/>
      </w:r>
      <w:r>
        <w:rPr>
          <w:rFonts w:ascii="Times New Roman" w:hAnsi="Times New Roman" w:eastAsia="方正仿宋简体"/>
          <w:b/>
          <w:spacing w:val="-1"/>
          <w:sz w:val="32"/>
          <w:szCs w:val="32"/>
        </w:rPr>
        <w:t>单位</w:t>
      </w:r>
      <w:r>
        <w:rPr>
          <w:rFonts w:ascii="Times New Roman" w:hAnsi="Times New Roman" w:eastAsia="方正仿宋简体"/>
          <w:b/>
          <w:sz w:val="32"/>
          <w:szCs w:val="32"/>
        </w:rPr>
        <w:t>：km</w:t>
      </w:r>
      <w:r>
        <w:rPr>
          <w:rFonts w:ascii="Times New Roman" w:hAnsi="Times New Roman" w:eastAsia="方正仿宋简体"/>
          <w:b/>
          <w:position w:val="7"/>
          <w:sz w:val="32"/>
          <w:szCs w:val="32"/>
        </w:rPr>
        <w:t>2</w:t>
      </w:r>
    </w:p>
    <w:tbl>
      <w:tblPr>
        <w:tblStyle w:val="58"/>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031"/>
        <w:gridCol w:w="1274"/>
        <w:gridCol w:w="941"/>
        <w:gridCol w:w="1274"/>
        <w:gridCol w:w="939"/>
        <w:gridCol w:w="1486"/>
        <w:gridCol w:w="934"/>
        <w:gridCol w:w="88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c>
          <w:tcPr>
            <w:tcW w:w="589" w:type="pct"/>
            <w:vMerge w:val="restart"/>
            <w:tcBorders>
              <w:bottom w:val="single" w:color="000000" w:sz="6" w:space="0"/>
              <w:right w:val="single" w:color="000000" w:sz="6" w:space="0"/>
            </w:tcBorders>
            <w:vAlign w:val="center"/>
          </w:tcPr>
          <w:p>
            <w:pPr>
              <w:pStyle w:val="59"/>
              <w:adjustRightInd w:val="0"/>
              <w:snapToGrid w:val="0"/>
              <w:rPr>
                <w:rFonts w:eastAsia="方正仿宋简体" w:cs="Times New Roman"/>
                <w:b/>
                <w:sz w:val="28"/>
                <w:szCs w:val="28"/>
              </w:rPr>
            </w:pPr>
            <w:bookmarkStart w:id="133" w:name="_Toc119835895"/>
            <w:bookmarkStart w:id="134" w:name="_Toc119843218"/>
            <w:bookmarkStart w:id="135" w:name="_Toc119849213"/>
            <w:bookmarkStart w:id="136" w:name="_Toc119856673"/>
            <w:bookmarkStart w:id="137" w:name="_Toc119856285"/>
            <w:r>
              <w:rPr>
                <w:rFonts w:eastAsia="方正仿宋简体" w:cs="Times New Roman"/>
                <w:b/>
                <w:sz w:val="28"/>
                <w:szCs w:val="28"/>
              </w:rPr>
              <w:t>行政区划</w:t>
            </w:r>
          </w:p>
        </w:tc>
        <w:tc>
          <w:tcPr>
            <w:tcW w:w="1263" w:type="pct"/>
            <w:gridSpan w:val="2"/>
            <w:tcBorders>
              <w:left w:val="single" w:color="000000" w:sz="6" w:space="0"/>
              <w:bottom w:val="single" w:color="000000" w:sz="6" w:space="0"/>
              <w:right w:val="single" w:color="000000" w:sz="6" w:space="0"/>
            </w:tcBorders>
            <w:vAlign w:val="center"/>
          </w:tcPr>
          <w:p>
            <w:pPr>
              <w:pStyle w:val="59"/>
              <w:adjustRightInd w:val="0"/>
              <w:snapToGrid w:val="0"/>
              <w:rPr>
                <w:rFonts w:eastAsia="方正仿宋简体" w:cs="Times New Roman"/>
                <w:b/>
                <w:sz w:val="28"/>
                <w:szCs w:val="28"/>
              </w:rPr>
            </w:pPr>
            <w:r>
              <w:rPr>
                <w:rFonts w:eastAsia="方正仿宋简体" w:cs="Times New Roman"/>
                <w:b/>
                <w:sz w:val="28"/>
                <w:szCs w:val="28"/>
              </w:rPr>
              <w:t>优先保护单元</w:t>
            </w:r>
          </w:p>
        </w:tc>
        <w:tc>
          <w:tcPr>
            <w:tcW w:w="1263" w:type="pct"/>
            <w:gridSpan w:val="2"/>
            <w:tcBorders>
              <w:left w:val="single" w:color="000000" w:sz="6" w:space="0"/>
              <w:bottom w:val="single" w:color="000000" w:sz="6" w:space="0"/>
              <w:right w:val="single" w:color="000000" w:sz="6" w:space="0"/>
            </w:tcBorders>
            <w:vAlign w:val="center"/>
          </w:tcPr>
          <w:p>
            <w:pPr>
              <w:pStyle w:val="59"/>
              <w:adjustRightInd w:val="0"/>
              <w:snapToGrid w:val="0"/>
              <w:rPr>
                <w:rFonts w:eastAsia="方正仿宋简体" w:cs="Times New Roman"/>
                <w:b/>
                <w:sz w:val="28"/>
                <w:szCs w:val="28"/>
              </w:rPr>
            </w:pPr>
            <w:r>
              <w:rPr>
                <w:rFonts w:eastAsia="方正仿宋简体" w:cs="Times New Roman"/>
                <w:b/>
                <w:sz w:val="28"/>
                <w:szCs w:val="28"/>
              </w:rPr>
              <w:t>重点管控单元</w:t>
            </w:r>
          </w:p>
        </w:tc>
        <w:tc>
          <w:tcPr>
            <w:tcW w:w="1381" w:type="pct"/>
            <w:gridSpan w:val="2"/>
            <w:tcBorders>
              <w:left w:val="single" w:color="000000" w:sz="6" w:space="0"/>
              <w:bottom w:val="single" w:color="000000" w:sz="6" w:space="0"/>
              <w:right w:val="single" w:color="000000" w:sz="6" w:space="0"/>
            </w:tcBorders>
            <w:vAlign w:val="center"/>
          </w:tcPr>
          <w:p>
            <w:pPr>
              <w:pStyle w:val="59"/>
              <w:adjustRightInd w:val="0"/>
              <w:snapToGrid w:val="0"/>
              <w:rPr>
                <w:rFonts w:eastAsia="方正仿宋简体" w:cs="Times New Roman"/>
                <w:b/>
                <w:sz w:val="28"/>
                <w:szCs w:val="28"/>
              </w:rPr>
            </w:pPr>
            <w:r>
              <w:rPr>
                <w:rFonts w:eastAsia="方正仿宋简体" w:cs="Times New Roman"/>
                <w:b/>
                <w:sz w:val="28"/>
                <w:szCs w:val="28"/>
              </w:rPr>
              <w:t>一般管控单元</w:t>
            </w:r>
          </w:p>
        </w:tc>
        <w:tc>
          <w:tcPr>
            <w:tcW w:w="503" w:type="pct"/>
            <w:vMerge w:val="restart"/>
            <w:tcBorders>
              <w:left w:val="single" w:color="000000" w:sz="6" w:space="0"/>
              <w:bottom w:val="single" w:color="000000" w:sz="6" w:space="0"/>
            </w:tcBorders>
            <w:vAlign w:val="center"/>
          </w:tcPr>
          <w:p>
            <w:pPr>
              <w:pStyle w:val="59"/>
              <w:adjustRightInd w:val="0"/>
              <w:snapToGrid w:val="0"/>
              <w:rPr>
                <w:rFonts w:eastAsia="方正仿宋简体" w:cs="Times New Roman"/>
                <w:b/>
                <w:sz w:val="28"/>
                <w:szCs w:val="28"/>
              </w:rPr>
            </w:pPr>
            <w:r>
              <w:rPr>
                <w:rFonts w:eastAsia="方正仿宋简体" w:cs="Times New Roman"/>
                <w:b/>
                <w:sz w:val="28"/>
                <w:szCs w:val="28"/>
              </w:rPr>
              <w:t>单元个数合计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c>
          <w:tcPr>
            <w:tcW w:w="589" w:type="pct"/>
            <w:vMerge w:val="continue"/>
            <w:tcBorders>
              <w:top w:val="nil"/>
              <w:bottom w:val="single" w:color="000000" w:sz="6" w:space="0"/>
              <w:right w:val="single" w:color="000000" w:sz="6" w:space="0"/>
            </w:tcBorders>
            <w:vAlign w:val="center"/>
          </w:tcPr>
          <w:p>
            <w:pPr>
              <w:autoSpaceDE w:val="0"/>
              <w:autoSpaceDN w:val="0"/>
              <w:adjustRightInd w:val="0"/>
              <w:snapToGrid w:val="0"/>
              <w:jc w:val="center"/>
              <w:rPr>
                <w:rFonts w:ascii="Times New Roman" w:hAnsi="Times New Roman" w:eastAsia="方正仿宋简体" w:cs="Times New Roman"/>
                <w:sz w:val="28"/>
                <w:szCs w:val="28"/>
                <w:lang w:eastAsia="en-US"/>
              </w:rPr>
            </w:pPr>
          </w:p>
        </w:tc>
        <w:tc>
          <w:tcPr>
            <w:tcW w:w="727" w:type="pct"/>
            <w:tcBorders>
              <w:top w:val="single" w:color="000000" w:sz="6" w:space="0"/>
              <w:left w:val="single" w:color="000000" w:sz="6" w:space="0"/>
              <w:bottom w:val="single" w:color="000000" w:sz="6" w:space="0"/>
              <w:right w:val="single" w:color="000000" w:sz="6" w:space="0"/>
            </w:tcBorders>
            <w:vAlign w:val="center"/>
          </w:tcPr>
          <w:p>
            <w:pPr>
              <w:pStyle w:val="59"/>
              <w:adjustRightInd w:val="0"/>
              <w:snapToGrid w:val="0"/>
              <w:rPr>
                <w:rFonts w:eastAsia="方正仿宋简体" w:cs="Times New Roman"/>
                <w:b/>
                <w:sz w:val="28"/>
                <w:szCs w:val="28"/>
              </w:rPr>
            </w:pPr>
            <w:r>
              <w:rPr>
                <w:rFonts w:eastAsia="方正仿宋简体" w:cs="Times New Roman"/>
                <w:b/>
                <w:sz w:val="28"/>
                <w:szCs w:val="28"/>
              </w:rPr>
              <w:t>个数</w:t>
            </w:r>
          </w:p>
        </w:tc>
        <w:tc>
          <w:tcPr>
            <w:tcW w:w="537" w:type="pct"/>
            <w:tcBorders>
              <w:top w:val="single" w:color="000000" w:sz="6" w:space="0"/>
              <w:left w:val="single" w:color="000000" w:sz="6" w:space="0"/>
              <w:bottom w:val="single" w:color="000000" w:sz="6" w:space="0"/>
              <w:right w:val="single" w:color="000000" w:sz="6" w:space="0"/>
            </w:tcBorders>
            <w:vAlign w:val="center"/>
          </w:tcPr>
          <w:p>
            <w:pPr>
              <w:pStyle w:val="59"/>
              <w:adjustRightInd w:val="0"/>
              <w:snapToGrid w:val="0"/>
              <w:rPr>
                <w:rFonts w:eastAsia="方正仿宋简体" w:cs="Times New Roman"/>
                <w:b/>
                <w:sz w:val="28"/>
                <w:szCs w:val="28"/>
              </w:rPr>
            </w:pPr>
            <w:r>
              <w:rPr>
                <w:rFonts w:eastAsia="方正仿宋简体" w:cs="Times New Roman"/>
                <w:b/>
                <w:sz w:val="28"/>
                <w:szCs w:val="28"/>
              </w:rPr>
              <w:t>面积占</w:t>
            </w:r>
          </w:p>
          <w:p>
            <w:pPr>
              <w:pStyle w:val="59"/>
              <w:adjustRightInd w:val="0"/>
              <w:snapToGrid w:val="0"/>
              <w:rPr>
                <w:rFonts w:eastAsia="方正仿宋简体" w:cs="Times New Roman"/>
                <w:b/>
                <w:sz w:val="28"/>
                <w:szCs w:val="28"/>
              </w:rPr>
            </w:pPr>
            <w:r>
              <w:rPr>
                <w:rFonts w:eastAsia="方正仿宋简体" w:cs="Times New Roman"/>
                <w:b/>
                <w:w w:val="99"/>
                <w:sz w:val="28"/>
                <w:szCs w:val="28"/>
              </w:rPr>
              <w:t>比</w:t>
            </w:r>
          </w:p>
        </w:tc>
        <w:tc>
          <w:tcPr>
            <w:tcW w:w="727" w:type="pct"/>
            <w:tcBorders>
              <w:top w:val="single" w:color="000000" w:sz="6" w:space="0"/>
              <w:left w:val="single" w:color="000000" w:sz="6" w:space="0"/>
              <w:bottom w:val="single" w:color="000000" w:sz="6" w:space="0"/>
              <w:right w:val="single" w:color="000000" w:sz="6" w:space="0"/>
            </w:tcBorders>
            <w:vAlign w:val="center"/>
          </w:tcPr>
          <w:p>
            <w:pPr>
              <w:pStyle w:val="59"/>
              <w:adjustRightInd w:val="0"/>
              <w:snapToGrid w:val="0"/>
              <w:rPr>
                <w:rFonts w:eastAsia="方正仿宋简体" w:cs="Times New Roman"/>
                <w:b/>
                <w:sz w:val="28"/>
                <w:szCs w:val="28"/>
              </w:rPr>
            </w:pPr>
            <w:r>
              <w:rPr>
                <w:rFonts w:eastAsia="方正仿宋简体" w:cs="Times New Roman"/>
                <w:b/>
                <w:sz w:val="28"/>
                <w:szCs w:val="28"/>
              </w:rPr>
              <w:t>个数</w:t>
            </w:r>
          </w:p>
        </w:tc>
        <w:tc>
          <w:tcPr>
            <w:tcW w:w="536" w:type="pct"/>
            <w:tcBorders>
              <w:top w:val="single" w:color="000000" w:sz="6" w:space="0"/>
              <w:left w:val="single" w:color="000000" w:sz="6" w:space="0"/>
              <w:bottom w:val="single" w:color="000000" w:sz="6" w:space="0"/>
              <w:right w:val="single" w:color="000000" w:sz="6" w:space="0"/>
            </w:tcBorders>
            <w:vAlign w:val="center"/>
          </w:tcPr>
          <w:p>
            <w:pPr>
              <w:pStyle w:val="59"/>
              <w:adjustRightInd w:val="0"/>
              <w:snapToGrid w:val="0"/>
              <w:rPr>
                <w:rFonts w:eastAsia="方正仿宋简体" w:cs="Times New Roman"/>
                <w:b/>
                <w:sz w:val="28"/>
                <w:szCs w:val="28"/>
              </w:rPr>
            </w:pPr>
            <w:r>
              <w:rPr>
                <w:rFonts w:eastAsia="方正仿宋简体" w:cs="Times New Roman"/>
                <w:b/>
                <w:sz w:val="28"/>
                <w:szCs w:val="28"/>
              </w:rPr>
              <w:t>面积占</w:t>
            </w:r>
          </w:p>
          <w:p>
            <w:pPr>
              <w:pStyle w:val="59"/>
              <w:adjustRightInd w:val="0"/>
              <w:snapToGrid w:val="0"/>
              <w:rPr>
                <w:rFonts w:eastAsia="方正仿宋简体" w:cs="Times New Roman"/>
                <w:b/>
                <w:sz w:val="28"/>
                <w:szCs w:val="28"/>
              </w:rPr>
            </w:pPr>
            <w:r>
              <w:rPr>
                <w:rFonts w:eastAsia="方正仿宋简体" w:cs="Times New Roman"/>
                <w:b/>
                <w:w w:val="99"/>
                <w:sz w:val="28"/>
                <w:szCs w:val="28"/>
              </w:rPr>
              <w:t>比</w:t>
            </w:r>
          </w:p>
        </w:tc>
        <w:tc>
          <w:tcPr>
            <w:tcW w:w="848" w:type="pct"/>
            <w:tcBorders>
              <w:top w:val="single" w:color="000000" w:sz="6" w:space="0"/>
              <w:left w:val="single" w:color="000000" w:sz="6" w:space="0"/>
              <w:bottom w:val="single" w:color="000000" w:sz="6" w:space="0"/>
              <w:right w:val="single" w:color="000000" w:sz="6" w:space="0"/>
            </w:tcBorders>
            <w:vAlign w:val="center"/>
          </w:tcPr>
          <w:p>
            <w:pPr>
              <w:pStyle w:val="59"/>
              <w:adjustRightInd w:val="0"/>
              <w:snapToGrid w:val="0"/>
              <w:rPr>
                <w:rFonts w:eastAsia="方正仿宋简体" w:cs="Times New Roman"/>
                <w:b/>
                <w:sz w:val="28"/>
                <w:szCs w:val="28"/>
              </w:rPr>
            </w:pPr>
            <w:r>
              <w:rPr>
                <w:rFonts w:eastAsia="方正仿宋简体" w:cs="Times New Roman"/>
                <w:b/>
                <w:sz w:val="28"/>
                <w:szCs w:val="28"/>
              </w:rPr>
              <w:t>个数</w:t>
            </w:r>
          </w:p>
        </w:tc>
        <w:tc>
          <w:tcPr>
            <w:tcW w:w="533" w:type="pct"/>
            <w:tcBorders>
              <w:top w:val="single" w:color="000000" w:sz="6" w:space="0"/>
              <w:left w:val="single" w:color="000000" w:sz="6" w:space="0"/>
              <w:bottom w:val="single" w:color="000000" w:sz="6" w:space="0"/>
              <w:right w:val="single" w:color="000000" w:sz="6" w:space="0"/>
            </w:tcBorders>
            <w:vAlign w:val="center"/>
          </w:tcPr>
          <w:p>
            <w:pPr>
              <w:pStyle w:val="59"/>
              <w:adjustRightInd w:val="0"/>
              <w:snapToGrid w:val="0"/>
              <w:rPr>
                <w:rFonts w:eastAsia="方正仿宋简体" w:cs="Times New Roman"/>
                <w:b/>
                <w:sz w:val="28"/>
                <w:szCs w:val="28"/>
              </w:rPr>
            </w:pPr>
            <w:r>
              <w:rPr>
                <w:rFonts w:eastAsia="方正仿宋简体" w:cs="Times New Roman"/>
                <w:b/>
                <w:sz w:val="28"/>
                <w:szCs w:val="28"/>
              </w:rPr>
              <w:t>面积占</w:t>
            </w:r>
          </w:p>
          <w:p>
            <w:pPr>
              <w:pStyle w:val="59"/>
              <w:adjustRightInd w:val="0"/>
              <w:snapToGrid w:val="0"/>
              <w:rPr>
                <w:rFonts w:eastAsia="方正仿宋简体" w:cs="Times New Roman"/>
                <w:b/>
                <w:sz w:val="28"/>
                <w:szCs w:val="28"/>
              </w:rPr>
            </w:pPr>
            <w:r>
              <w:rPr>
                <w:rFonts w:eastAsia="方正仿宋简体" w:cs="Times New Roman"/>
                <w:b/>
                <w:w w:val="99"/>
                <w:sz w:val="28"/>
                <w:szCs w:val="28"/>
              </w:rPr>
              <w:t>比</w:t>
            </w:r>
          </w:p>
        </w:tc>
        <w:tc>
          <w:tcPr>
            <w:tcW w:w="503" w:type="pct"/>
            <w:vMerge w:val="continue"/>
            <w:tcBorders>
              <w:top w:val="nil"/>
              <w:left w:val="single" w:color="000000" w:sz="6" w:space="0"/>
              <w:bottom w:val="single" w:color="000000" w:sz="6" w:space="0"/>
            </w:tcBorders>
            <w:vAlign w:val="center"/>
          </w:tcPr>
          <w:p>
            <w:pPr>
              <w:autoSpaceDE w:val="0"/>
              <w:autoSpaceDN w:val="0"/>
              <w:adjustRightInd w:val="0"/>
              <w:snapToGrid w:val="0"/>
              <w:jc w:val="center"/>
              <w:rPr>
                <w:rFonts w:ascii="Times New Roman" w:hAnsi="Times New Roman" w:eastAsia="方正仿宋简体" w:cs="Times New Roman"/>
                <w:sz w:val="28"/>
                <w:szCs w:val="28"/>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c>
          <w:tcPr>
            <w:tcW w:w="589" w:type="pct"/>
            <w:tcBorders>
              <w:top w:val="single" w:color="000000" w:sz="6" w:space="0"/>
              <w:right w:val="single" w:color="000000" w:sz="6" w:space="0"/>
            </w:tcBorders>
            <w:vAlign w:val="center"/>
          </w:tcPr>
          <w:p>
            <w:pPr>
              <w:pStyle w:val="59"/>
              <w:adjustRightInd w:val="0"/>
              <w:snapToGrid w:val="0"/>
              <w:rPr>
                <w:rFonts w:eastAsia="方正仿宋简体" w:cs="Times New Roman"/>
                <w:sz w:val="28"/>
                <w:szCs w:val="28"/>
              </w:rPr>
            </w:pPr>
            <w:r>
              <w:rPr>
                <w:rFonts w:eastAsia="方正仿宋简体" w:cs="Times New Roman"/>
                <w:w w:val="95"/>
                <w:sz w:val="28"/>
                <w:szCs w:val="28"/>
              </w:rPr>
              <w:t>太白湖新区</w:t>
            </w:r>
          </w:p>
        </w:tc>
        <w:tc>
          <w:tcPr>
            <w:tcW w:w="727" w:type="pct"/>
            <w:tcBorders>
              <w:top w:val="single" w:color="000000" w:sz="6" w:space="0"/>
              <w:left w:val="single" w:color="000000" w:sz="6" w:space="0"/>
              <w:right w:val="single" w:color="000000" w:sz="6" w:space="0"/>
            </w:tcBorders>
            <w:vAlign w:val="center"/>
          </w:tcPr>
          <w:p>
            <w:pPr>
              <w:pStyle w:val="59"/>
              <w:adjustRightInd w:val="0"/>
              <w:snapToGrid w:val="0"/>
              <w:rPr>
                <w:rFonts w:eastAsia="方正仿宋简体" w:cs="Times New Roman"/>
                <w:sz w:val="28"/>
                <w:szCs w:val="28"/>
                <w:lang w:eastAsia="zh-CN"/>
              </w:rPr>
            </w:pPr>
            <w:r>
              <w:rPr>
                <w:rFonts w:eastAsia="方正仿宋简体" w:cs="Times New Roman"/>
                <w:w w:val="99"/>
                <w:sz w:val="28"/>
                <w:szCs w:val="28"/>
                <w:lang w:eastAsia="zh-CN"/>
              </w:rPr>
              <w:t>0</w:t>
            </w:r>
          </w:p>
        </w:tc>
        <w:tc>
          <w:tcPr>
            <w:tcW w:w="537" w:type="pct"/>
            <w:tcBorders>
              <w:top w:val="single" w:color="000000" w:sz="6" w:space="0"/>
              <w:left w:val="single" w:color="000000" w:sz="6" w:space="0"/>
              <w:right w:val="single" w:color="000000" w:sz="6" w:space="0"/>
            </w:tcBorders>
            <w:vAlign w:val="center"/>
          </w:tcPr>
          <w:p>
            <w:pPr>
              <w:pStyle w:val="59"/>
              <w:adjustRightInd w:val="0"/>
              <w:snapToGrid w:val="0"/>
              <w:rPr>
                <w:rFonts w:eastAsia="方正仿宋简体" w:cs="Times New Roman"/>
                <w:sz w:val="28"/>
                <w:szCs w:val="28"/>
                <w:lang w:eastAsia="zh-CN"/>
              </w:rPr>
            </w:pPr>
            <w:r>
              <w:rPr>
                <w:rFonts w:eastAsia="方正仿宋简体" w:cs="Times New Roman"/>
                <w:sz w:val="28"/>
                <w:szCs w:val="28"/>
                <w:lang w:eastAsia="zh-CN"/>
              </w:rPr>
              <w:t>0</w:t>
            </w:r>
          </w:p>
        </w:tc>
        <w:tc>
          <w:tcPr>
            <w:tcW w:w="727" w:type="pct"/>
            <w:tcBorders>
              <w:top w:val="single" w:color="000000" w:sz="6" w:space="0"/>
              <w:left w:val="single" w:color="000000" w:sz="6" w:space="0"/>
              <w:right w:val="single" w:color="000000" w:sz="6" w:space="0"/>
            </w:tcBorders>
            <w:vAlign w:val="center"/>
          </w:tcPr>
          <w:p>
            <w:pPr>
              <w:pStyle w:val="59"/>
              <w:adjustRightInd w:val="0"/>
              <w:snapToGrid w:val="0"/>
              <w:rPr>
                <w:rFonts w:eastAsia="方正仿宋简体" w:cs="Times New Roman"/>
                <w:sz w:val="28"/>
                <w:szCs w:val="28"/>
                <w:lang w:eastAsia="zh-CN"/>
              </w:rPr>
            </w:pPr>
            <w:r>
              <w:rPr>
                <w:rFonts w:eastAsia="方正仿宋简体" w:cs="Times New Roman"/>
                <w:w w:val="99"/>
                <w:sz w:val="28"/>
                <w:szCs w:val="28"/>
                <w:lang w:eastAsia="zh-CN"/>
              </w:rPr>
              <w:t>2</w:t>
            </w:r>
          </w:p>
        </w:tc>
        <w:tc>
          <w:tcPr>
            <w:tcW w:w="536" w:type="pct"/>
            <w:tcBorders>
              <w:top w:val="single" w:color="000000" w:sz="6" w:space="0"/>
              <w:left w:val="single" w:color="000000" w:sz="6" w:space="0"/>
              <w:right w:val="single" w:color="000000" w:sz="6" w:space="0"/>
            </w:tcBorders>
            <w:vAlign w:val="center"/>
          </w:tcPr>
          <w:p>
            <w:pPr>
              <w:pStyle w:val="59"/>
              <w:adjustRightInd w:val="0"/>
              <w:snapToGrid w:val="0"/>
              <w:rPr>
                <w:rFonts w:eastAsia="方正仿宋简体" w:cs="Times New Roman"/>
                <w:sz w:val="28"/>
                <w:szCs w:val="28"/>
              </w:rPr>
            </w:pPr>
            <w:r>
              <w:rPr>
                <w:rFonts w:eastAsia="方正仿宋简体" w:cs="Times New Roman"/>
                <w:sz w:val="28"/>
                <w:szCs w:val="28"/>
                <w:lang w:eastAsia="zh-CN"/>
              </w:rPr>
              <w:t>100</w:t>
            </w:r>
            <w:r>
              <w:rPr>
                <w:rFonts w:eastAsia="方正仿宋简体" w:cs="Times New Roman"/>
                <w:sz w:val="28"/>
                <w:szCs w:val="28"/>
              </w:rPr>
              <w:t>%</w:t>
            </w:r>
          </w:p>
        </w:tc>
        <w:tc>
          <w:tcPr>
            <w:tcW w:w="848" w:type="pct"/>
            <w:tcBorders>
              <w:top w:val="single" w:color="000000" w:sz="6" w:space="0"/>
              <w:left w:val="single" w:color="000000" w:sz="6" w:space="0"/>
              <w:right w:val="single" w:color="000000" w:sz="6" w:space="0"/>
            </w:tcBorders>
            <w:vAlign w:val="center"/>
          </w:tcPr>
          <w:p>
            <w:pPr>
              <w:pStyle w:val="59"/>
              <w:adjustRightInd w:val="0"/>
              <w:snapToGrid w:val="0"/>
              <w:rPr>
                <w:rFonts w:eastAsia="方正仿宋简体" w:cs="Times New Roman"/>
                <w:sz w:val="28"/>
                <w:szCs w:val="28"/>
                <w:lang w:eastAsia="zh-CN"/>
              </w:rPr>
            </w:pPr>
            <w:r>
              <w:rPr>
                <w:rFonts w:eastAsia="方正仿宋简体" w:cs="Times New Roman"/>
                <w:w w:val="99"/>
                <w:sz w:val="28"/>
                <w:szCs w:val="28"/>
                <w:lang w:eastAsia="zh-CN"/>
              </w:rPr>
              <w:t>0</w:t>
            </w:r>
          </w:p>
        </w:tc>
        <w:tc>
          <w:tcPr>
            <w:tcW w:w="533" w:type="pct"/>
            <w:tcBorders>
              <w:top w:val="single" w:color="000000" w:sz="6" w:space="0"/>
              <w:left w:val="single" w:color="000000" w:sz="6" w:space="0"/>
              <w:right w:val="single" w:color="000000" w:sz="6" w:space="0"/>
            </w:tcBorders>
            <w:vAlign w:val="center"/>
          </w:tcPr>
          <w:p>
            <w:pPr>
              <w:pStyle w:val="59"/>
              <w:adjustRightInd w:val="0"/>
              <w:snapToGrid w:val="0"/>
              <w:rPr>
                <w:rFonts w:eastAsia="方正仿宋简体" w:cs="Times New Roman"/>
                <w:sz w:val="28"/>
                <w:szCs w:val="28"/>
                <w:lang w:eastAsia="zh-CN"/>
              </w:rPr>
            </w:pPr>
            <w:r>
              <w:rPr>
                <w:rFonts w:eastAsia="方正仿宋简体" w:cs="Times New Roman"/>
                <w:sz w:val="28"/>
                <w:szCs w:val="28"/>
                <w:lang w:eastAsia="zh-CN"/>
              </w:rPr>
              <w:t>0</w:t>
            </w:r>
          </w:p>
        </w:tc>
        <w:tc>
          <w:tcPr>
            <w:tcW w:w="503" w:type="pct"/>
            <w:tcBorders>
              <w:top w:val="single" w:color="000000" w:sz="6" w:space="0"/>
              <w:left w:val="single" w:color="000000" w:sz="6" w:space="0"/>
            </w:tcBorders>
            <w:vAlign w:val="center"/>
          </w:tcPr>
          <w:p>
            <w:pPr>
              <w:pStyle w:val="59"/>
              <w:adjustRightInd w:val="0"/>
              <w:snapToGrid w:val="0"/>
              <w:rPr>
                <w:rFonts w:eastAsia="方正仿宋简体" w:cs="Times New Roman"/>
                <w:sz w:val="28"/>
                <w:szCs w:val="28"/>
                <w:lang w:eastAsia="zh-CN"/>
              </w:rPr>
            </w:pPr>
            <w:r>
              <w:rPr>
                <w:rFonts w:eastAsia="方正仿宋简体" w:cs="Times New Roman"/>
                <w:sz w:val="28"/>
                <w:szCs w:val="28"/>
                <w:lang w:eastAsia="zh-CN"/>
              </w:rPr>
              <w:t>2</w:t>
            </w:r>
          </w:p>
        </w:tc>
      </w:tr>
    </w:tbl>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138" w:name="_Toc138888966"/>
      <w:r>
        <w:rPr>
          <w:rFonts w:ascii="Times New Roman" w:hAnsi="Times New Roman" w:eastAsia="方正仿宋简体"/>
          <w:color w:val="000000" w:themeColor="text1"/>
          <w14:textFill>
            <w14:solidFill>
              <w14:schemeClr w14:val="tx1"/>
            </w14:solidFill>
          </w14:textFill>
        </w:rPr>
        <w:t>2.3.2大气环境质量</w:t>
      </w:r>
      <w:bookmarkEnd w:id="133"/>
      <w:bookmarkEnd w:id="134"/>
      <w:bookmarkEnd w:id="135"/>
      <w:bookmarkEnd w:id="136"/>
      <w:bookmarkEnd w:id="137"/>
      <w:bookmarkEnd w:id="138"/>
    </w:p>
    <w:p>
      <w:pPr>
        <w:pStyle w:val="57"/>
        <w:spacing w:line="560" w:lineRule="exact"/>
        <w:ind w:firstLine="640"/>
        <w:rPr>
          <w:rFonts w:ascii="Times New Roman" w:hAnsi="Times New Roman" w:eastAsia="方正仿宋简体"/>
          <w:color w:val="000000" w:themeColor="text1"/>
          <w:kern w:val="2"/>
          <w:sz w:val="32"/>
          <w:szCs w:val="32"/>
          <w14:textFill>
            <w14:solidFill>
              <w14:schemeClr w14:val="tx1"/>
            </w14:solidFill>
          </w14:textFill>
        </w:rPr>
      </w:pPr>
      <w:bookmarkStart w:id="139" w:name="_Toc119835896"/>
      <w:bookmarkStart w:id="140" w:name="_Toc119856286"/>
      <w:bookmarkStart w:id="141" w:name="_Toc119849214"/>
      <w:bookmarkStart w:id="142" w:name="_Toc119843219"/>
      <w:bookmarkStart w:id="143" w:name="_Toc119856674"/>
      <w:r>
        <w:rPr>
          <w:rFonts w:ascii="Times New Roman" w:hAnsi="Times New Roman" w:eastAsia="方正仿宋简体"/>
          <w:color w:val="000000" w:themeColor="text1"/>
          <w:kern w:val="2"/>
          <w:sz w:val="32"/>
          <w:szCs w:val="32"/>
          <w14:textFill>
            <w14:solidFill>
              <w14:schemeClr w14:val="tx1"/>
            </w14:solidFill>
          </w14:textFill>
        </w:rPr>
        <w:t>根据济宁市生态环境局下发的《2020年度济宁市环境质量状况》，根据通报数据，2020年济宁城区开展的环境空气监测项目有二氧化硫（SO2）、二氧化氮（NO2）、可吸入颗粒物（PM10）、细颗粒物（PM2.5）、一氧化碳（CO）、臭氧（O</w:t>
      </w:r>
      <w:r>
        <w:rPr>
          <w:rFonts w:ascii="Times New Roman" w:hAnsi="Times New Roman" w:eastAsia="方正仿宋简体"/>
          <w:color w:val="000000" w:themeColor="text1"/>
          <w:kern w:val="2"/>
          <w:sz w:val="32"/>
          <w:szCs w:val="32"/>
          <w:vertAlign w:val="subscript"/>
          <w14:textFill>
            <w14:solidFill>
              <w14:schemeClr w14:val="tx1"/>
            </w14:solidFill>
          </w14:textFill>
        </w:rPr>
        <w:t>3</w:t>
      </w:r>
      <w:r>
        <w:rPr>
          <w:rFonts w:ascii="Times New Roman" w:hAnsi="Times New Roman" w:eastAsia="方正仿宋简体"/>
          <w:color w:val="000000" w:themeColor="text1"/>
          <w:kern w:val="2"/>
          <w:sz w:val="32"/>
          <w:szCs w:val="32"/>
          <w14:textFill>
            <w14:solidFill>
              <w14:schemeClr w14:val="tx1"/>
            </w14:solidFill>
          </w14:textFill>
        </w:rPr>
        <w:t>）6 项，设置9个采样点，全部实行环境空气质量自动监测。</w:t>
      </w:r>
    </w:p>
    <w:p>
      <w:pPr>
        <w:pStyle w:val="57"/>
        <w:spacing w:line="560" w:lineRule="exact"/>
        <w:ind w:firstLine="640"/>
        <w:rPr>
          <w:rFonts w:ascii="Times New Roman" w:hAnsi="Times New Roman" w:eastAsia="方正仿宋简体"/>
          <w:color w:val="000000" w:themeColor="text1"/>
          <w:kern w:val="2"/>
          <w:sz w:val="32"/>
          <w:szCs w:val="32"/>
          <w14:textFill>
            <w14:solidFill>
              <w14:schemeClr w14:val="tx1"/>
            </w14:solidFill>
          </w14:textFill>
        </w:rPr>
      </w:pPr>
      <w:r>
        <w:rPr>
          <w:rFonts w:ascii="Times New Roman" w:hAnsi="Times New Roman" w:eastAsia="方正仿宋简体"/>
          <w:color w:val="000000" w:themeColor="text1"/>
          <w:kern w:val="2"/>
          <w:sz w:val="32"/>
          <w:szCs w:val="32"/>
          <w14:textFill>
            <w14:solidFill>
              <w14:schemeClr w14:val="tx1"/>
            </w14:solidFill>
          </w14:textFill>
        </w:rPr>
        <w:t>2020年济宁各县（市、区）空气SO2年日均值13μg/m</w:t>
      </w:r>
      <w:r>
        <w:rPr>
          <w:rFonts w:ascii="Times New Roman" w:hAnsi="Times New Roman" w:eastAsia="方正仿宋简体"/>
          <w:color w:val="000000" w:themeColor="text1"/>
          <w:kern w:val="2"/>
          <w:sz w:val="32"/>
          <w:szCs w:val="32"/>
          <w:vertAlign w:val="superscript"/>
          <w14:textFill>
            <w14:solidFill>
              <w14:schemeClr w14:val="tx1"/>
            </w14:solidFill>
          </w14:textFill>
        </w:rPr>
        <w:t>3</w:t>
      </w:r>
      <w:r>
        <w:rPr>
          <w:rFonts w:ascii="Times New Roman" w:hAnsi="Times New Roman" w:eastAsia="方正仿宋简体"/>
          <w:color w:val="000000" w:themeColor="text1"/>
          <w:kern w:val="2"/>
          <w:sz w:val="32"/>
          <w:szCs w:val="32"/>
          <w14:textFill>
            <w14:solidFill>
              <w14:schemeClr w14:val="tx1"/>
            </w14:solidFill>
          </w14:textFill>
        </w:rPr>
        <w:t>，不超标，日均值范围在2～141μg/m</w:t>
      </w:r>
      <w:r>
        <w:rPr>
          <w:rFonts w:ascii="Times New Roman" w:hAnsi="Times New Roman" w:eastAsia="方正仿宋简体"/>
          <w:color w:val="000000" w:themeColor="text1"/>
          <w:kern w:val="2"/>
          <w:sz w:val="32"/>
          <w:szCs w:val="32"/>
          <w:vertAlign w:val="superscript"/>
          <w14:textFill>
            <w14:solidFill>
              <w14:schemeClr w14:val="tx1"/>
            </w14:solidFill>
          </w14:textFill>
        </w:rPr>
        <w:t>3</w:t>
      </w:r>
      <w:r>
        <w:rPr>
          <w:rFonts w:ascii="Times New Roman" w:hAnsi="Times New Roman" w:eastAsia="方正仿宋简体"/>
          <w:color w:val="000000" w:themeColor="text1"/>
          <w:kern w:val="2"/>
          <w:sz w:val="32"/>
          <w:szCs w:val="32"/>
          <w14:textFill>
            <w14:solidFill>
              <w14:schemeClr w14:val="tx1"/>
            </w14:solidFill>
          </w14:textFill>
        </w:rPr>
        <w:t>之间。NO2年日均浓度为30μg/ m</w:t>
      </w:r>
      <w:r>
        <w:rPr>
          <w:rFonts w:ascii="Times New Roman" w:hAnsi="Times New Roman" w:eastAsia="方正仿宋简体"/>
          <w:color w:val="000000" w:themeColor="text1"/>
          <w:kern w:val="2"/>
          <w:sz w:val="32"/>
          <w:szCs w:val="32"/>
          <w:vertAlign w:val="superscript"/>
          <w14:textFill>
            <w14:solidFill>
              <w14:schemeClr w14:val="tx1"/>
            </w14:solidFill>
          </w14:textFill>
        </w:rPr>
        <w:t>3</w:t>
      </w:r>
      <w:r>
        <w:rPr>
          <w:rFonts w:ascii="Times New Roman" w:hAnsi="Times New Roman" w:eastAsia="方正仿宋简体"/>
          <w:color w:val="000000" w:themeColor="text1"/>
          <w:kern w:val="2"/>
          <w:sz w:val="32"/>
          <w:szCs w:val="32"/>
          <w14:textFill>
            <w14:solidFill>
              <w14:schemeClr w14:val="tx1"/>
            </w14:solidFill>
          </w14:textFill>
        </w:rPr>
        <w:t>，不超标，日均值浓度范围为5～86μg/ m</w:t>
      </w:r>
      <w:r>
        <w:rPr>
          <w:rFonts w:ascii="Times New Roman" w:hAnsi="Times New Roman" w:eastAsia="方正仿宋简体"/>
          <w:color w:val="000000" w:themeColor="text1"/>
          <w:kern w:val="2"/>
          <w:sz w:val="32"/>
          <w:szCs w:val="32"/>
          <w:vertAlign w:val="superscript"/>
          <w14:textFill>
            <w14:solidFill>
              <w14:schemeClr w14:val="tx1"/>
            </w14:solidFill>
          </w14:textFill>
        </w:rPr>
        <w:t>3</w:t>
      </w:r>
      <w:r>
        <w:rPr>
          <w:rFonts w:ascii="Times New Roman" w:hAnsi="Times New Roman" w:eastAsia="方正仿宋简体"/>
          <w:color w:val="000000" w:themeColor="text1"/>
          <w:kern w:val="2"/>
          <w:sz w:val="32"/>
          <w:szCs w:val="32"/>
          <w14:textFill>
            <w14:solidFill>
              <w14:schemeClr w14:val="tx1"/>
            </w14:solidFill>
          </w14:textFill>
        </w:rPr>
        <w:t>。PM10年日均值为86μg/ m</w:t>
      </w:r>
      <w:r>
        <w:rPr>
          <w:rFonts w:ascii="Times New Roman" w:hAnsi="Times New Roman" w:eastAsia="方正仿宋简体"/>
          <w:color w:val="000000" w:themeColor="text1"/>
          <w:kern w:val="2"/>
          <w:sz w:val="32"/>
          <w:szCs w:val="32"/>
          <w:vertAlign w:val="superscript"/>
          <w14:textFill>
            <w14:solidFill>
              <w14:schemeClr w14:val="tx1"/>
            </w14:solidFill>
          </w14:textFill>
        </w:rPr>
        <w:t>3</w:t>
      </w:r>
      <w:r>
        <w:rPr>
          <w:rFonts w:ascii="Times New Roman" w:hAnsi="Times New Roman" w:eastAsia="方正仿宋简体"/>
          <w:color w:val="000000" w:themeColor="text1"/>
          <w:kern w:val="2"/>
          <w:sz w:val="32"/>
          <w:szCs w:val="32"/>
          <w14:textFill>
            <w14:solidFill>
              <w14:schemeClr w14:val="tx1"/>
            </w14:solidFill>
          </w14:textFill>
        </w:rPr>
        <w:t>，超标0.23倍，日均值范围为10～518μg/ m</w:t>
      </w:r>
      <w:r>
        <w:rPr>
          <w:rFonts w:ascii="Times New Roman" w:hAnsi="Times New Roman" w:eastAsia="方正仿宋简体"/>
          <w:color w:val="000000" w:themeColor="text1"/>
          <w:kern w:val="2"/>
          <w:sz w:val="32"/>
          <w:szCs w:val="32"/>
          <w:vertAlign w:val="superscript"/>
          <w14:textFill>
            <w14:solidFill>
              <w14:schemeClr w14:val="tx1"/>
            </w14:solidFill>
          </w14:textFill>
        </w:rPr>
        <w:t>3</w:t>
      </w:r>
      <w:r>
        <w:rPr>
          <w:rFonts w:ascii="Times New Roman" w:hAnsi="Times New Roman" w:eastAsia="方正仿宋简体"/>
          <w:color w:val="000000" w:themeColor="text1"/>
          <w:kern w:val="2"/>
          <w:sz w:val="32"/>
          <w:szCs w:val="32"/>
          <w14:textFill>
            <w14:solidFill>
              <w14:schemeClr w14:val="tx1"/>
            </w14:solidFill>
          </w14:textFill>
        </w:rPr>
        <w:t>。PM2.5年日均值为52μg/ m</w:t>
      </w:r>
      <w:r>
        <w:rPr>
          <w:rFonts w:ascii="Times New Roman" w:hAnsi="Times New Roman" w:eastAsia="方正仿宋简体"/>
          <w:color w:val="000000" w:themeColor="text1"/>
          <w:kern w:val="2"/>
          <w:sz w:val="32"/>
          <w:szCs w:val="32"/>
          <w:vertAlign w:val="superscript"/>
          <w14:textFill>
            <w14:solidFill>
              <w14:schemeClr w14:val="tx1"/>
            </w14:solidFill>
          </w14:textFill>
        </w:rPr>
        <w:t>3</w:t>
      </w:r>
      <w:r>
        <w:rPr>
          <w:rFonts w:ascii="Times New Roman" w:hAnsi="Times New Roman" w:eastAsia="方正仿宋简体"/>
          <w:color w:val="000000" w:themeColor="text1"/>
          <w:kern w:val="2"/>
          <w:sz w:val="32"/>
          <w:szCs w:val="32"/>
          <w14:textFill>
            <w14:solidFill>
              <w14:schemeClr w14:val="tx1"/>
            </w14:solidFill>
          </w14:textFill>
        </w:rPr>
        <w:t>，超标0.48倍，日均值范围为5～328μg/m</w:t>
      </w:r>
      <w:r>
        <w:rPr>
          <w:rFonts w:ascii="Times New Roman" w:hAnsi="Times New Roman" w:eastAsia="方正仿宋简体"/>
          <w:color w:val="000000" w:themeColor="text1"/>
          <w:kern w:val="2"/>
          <w:sz w:val="32"/>
          <w:szCs w:val="32"/>
          <w:vertAlign w:val="superscript"/>
          <w14:textFill>
            <w14:solidFill>
              <w14:schemeClr w14:val="tx1"/>
            </w14:solidFill>
          </w14:textFill>
        </w:rPr>
        <w:t>3</w:t>
      </w:r>
      <w:r>
        <w:rPr>
          <w:rFonts w:ascii="Times New Roman" w:hAnsi="Times New Roman" w:eastAsia="方正仿宋简体"/>
          <w:color w:val="000000" w:themeColor="text1"/>
          <w:kern w:val="2"/>
          <w:sz w:val="32"/>
          <w:szCs w:val="32"/>
          <w14:textFill>
            <w14:solidFill>
              <w14:schemeClr w14:val="tx1"/>
            </w14:solidFill>
          </w14:textFill>
        </w:rPr>
        <w:t>。CO年度95百分数浓度均值为1.6mg/ m</w:t>
      </w:r>
      <w:r>
        <w:rPr>
          <w:rFonts w:ascii="Times New Roman" w:hAnsi="Times New Roman" w:eastAsia="方正仿宋简体"/>
          <w:color w:val="000000" w:themeColor="text1"/>
          <w:kern w:val="2"/>
          <w:sz w:val="32"/>
          <w:szCs w:val="32"/>
          <w:vertAlign w:val="superscript"/>
          <w14:textFill>
            <w14:solidFill>
              <w14:schemeClr w14:val="tx1"/>
            </w14:solidFill>
          </w14:textFill>
        </w:rPr>
        <w:t>3</w:t>
      </w:r>
      <w:r>
        <w:rPr>
          <w:rFonts w:ascii="Times New Roman" w:hAnsi="Times New Roman" w:eastAsia="方正仿宋简体"/>
          <w:color w:val="000000" w:themeColor="text1"/>
          <w:kern w:val="2"/>
          <w:sz w:val="32"/>
          <w:szCs w:val="32"/>
          <w14:textFill>
            <w14:solidFill>
              <w14:schemeClr w14:val="tx1"/>
            </w14:solidFill>
          </w14:textFill>
        </w:rPr>
        <w:t>达标。O</w:t>
      </w:r>
      <w:r>
        <w:rPr>
          <w:rFonts w:ascii="Times New Roman" w:hAnsi="Times New Roman" w:eastAsia="方正仿宋简体"/>
          <w:color w:val="000000" w:themeColor="text1"/>
          <w:kern w:val="2"/>
          <w:sz w:val="32"/>
          <w:szCs w:val="32"/>
          <w:vertAlign w:val="subscript"/>
          <w14:textFill>
            <w14:solidFill>
              <w14:schemeClr w14:val="tx1"/>
            </w14:solidFill>
          </w14:textFill>
        </w:rPr>
        <w:t>3</w:t>
      </w:r>
      <w:r>
        <w:rPr>
          <w:rFonts w:ascii="Times New Roman" w:hAnsi="Times New Roman" w:eastAsia="方正仿宋简体"/>
          <w:color w:val="000000" w:themeColor="text1"/>
          <w:kern w:val="2"/>
          <w:sz w:val="32"/>
          <w:szCs w:val="32"/>
          <w14:textFill>
            <w14:solidFill>
              <w14:schemeClr w14:val="tx1"/>
            </w14:solidFill>
          </w14:textFill>
        </w:rPr>
        <w:t>年度90百分浓度均值为175μg/ m</w:t>
      </w:r>
      <w:r>
        <w:rPr>
          <w:rFonts w:ascii="Times New Roman" w:hAnsi="Times New Roman" w:eastAsia="方正仿宋简体"/>
          <w:color w:val="000000" w:themeColor="text1"/>
          <w:kern w:val="2"/>
          <w:sz w:val="32"/>
          <w:szCs w:val="32"/>
          <w:vertAlign w:val="superscript"/>
          <w14:textFill>
            <w14:solidFill>
              <w14:schemeClr w14:val="tx1"/>
            </w14:solidFill>
          </w14:textFill>
        </w:rPr>
        <w:t>3</w:t>
      </w:r>
      <w:r>
        <w:rPr>
          <w:rFonts w:ascii="Times New Roman" w:hAnsi="Times New Roman" w:eastAsia="方正仿宋简体"/>
          <w:color w:val="000000" w:themeColor="text1"/>
          <w:kern w:val="2"/>
          <w:sz w:val="32"/>
          <w:szCs w:val="32"/>
          <w14:textFill>
            <w14:solidFill>
              <w14:schemeClr w14:val="tx1"/>
            </w14:solidFill>
          </w14:textFill>
        </w:rPr>
        <w:t>，超标0.09倍。2020年监测见表2.3-1。</w:t>
      </w:r>
    </w:p>
    <w:p>
      <w:pPr>
        <w:pStyle w:val="57"/>
        <w:spacing w:line="560" w:lineRule="exact"/>
        <w:ind w:firstLine="640"/>
        <w:rPr>
          <w:rFonts w:ascii="Times New Roman" w:hAnsi="Times New Roman" w:eastAsia="方正仿宋简体"/>
          <w:color w:val="000000" w:themeColor="text1"/>
          <w:kern w:val="2"/>
          <w:sz w:val="32"/>
          <w:szCs w:val="32"/>
          <w14:textFill>
            <w14:solidFill>
              <w14:schemeClr w14:val="tx1"/>
            </w14:solidFill>
          </w14:textFill>
        </w:rPr>
      </w:pPr>
    </w:p>
    <w:p>
      <w:pPr>
        <w:pStyle w:val="57"/>
        <w:spacing w:line="560" w:lineRule="exact"/>
        <w:ind w:firstLine="640"/>
        <w:rPr>
          <w:rFonts w:ascii="Times New Roman" w:hAnsi="Times New Roman" w:eastAsia="方正仿宋简体"/>
          <w:color w:val="000000" w:themeColor="text1"/>
          <w:kern w:val="2"/>
          <w:sz w:val="32"/>
          <w:szCs w:val="32"/>
          <w14:textFill>
            <w14:solidFill>
              <w14:schemeClr w14:val="tx1"/>
            </w14:solidFill>
          </w14:textFill>
        </w:rPr>
      </w:pPr>
    </w:p>
    <w:p>
      <w:pPr>
        <w:spacing w:line="560" w:lineRule="exact"/>
        <w:jc w:val="center"/>
        <w:rPr>
          <w:rFonts w:ascii="Times New Roman" w:hAnsi="Times New Roman" w:eastAsia="方正仿宋简体"/>
          <w:b/>
          <w:bCs/>
          <w:sz w:val="32"/>
          <w:szCs w:val="32"/>
          <w:vertAlign w:val="superscript"/>
        </w:rPr>
      </w:pPr>
      <w:r>
        <w:rPr>
          <w:rFonts w:ascii="Times New Roman" w:hAnsi="Times New Roman" w:eastAsia="方正仿宋简体"/>
          <w:b/>
          <w:bCs/>
          <w:sz w:val="32"/>
          <w:szCs w:val="32"/>
        </w:rPr>
        <w:t>表2.3-1  基本污染物环境质量现状评价表（单位：mg/m</w:t>
      </w:r>
      <w:r>
        <w:rPr>
          <w:rFonts w:ascii="Times New Roman" w:hAnsi="Times New Roman" w:eastAsia="方正仿宋简体"/>
          <w:b/>
          <w:bCs/>
          <w:sz w:val="32"/>
          <w:szCs w:val="32"/>
          <w:vertAlign w:val="superscript"/>
        </w:rPr>
        <w:t>3</w:t>
      </w:r>
      <w:r>
        <w:rPr>
          <w:rFonts w:ascii="Times New Roman" w:hAnsi="Times New Roman" w:eastAsia="方正仿宋简体"/>
          <w:b/>
          <w:bCs/>
          <w:sz w:val="32"/>
          <w:szCs w:val="32"/>
        </w:rPr>
        <w:t>）</w:t>
      </w:r>
    </w:p>
    <w:tbl>
      <w:tblPr>
        <w:tblStyle w:val="27"/>
        <w:tblW w:w="534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247"/>
        <w:gridCol w:w="2202"/>
        <w:gridCol w:w="1622"/>
        <w:gridCol w:w="1090"/>
        <w:gridCol w:w="1118"/>
        <w:gridCol w:w="10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8" w:hRule="atLeast"/>
          <w:jc w:val="center"/>
        </w:trPr>
        <w:tc>
          <w:tcPr>
            <w:tcW w:w="1200" w:type="pct"/>
            <w:vAlign w:val="center"/>
          </w:tcPr>
          <w:p>
            <w:pPr>
              <w:pStyle w:val="55"/>
              <w:snapToGrid w:val="0"/>
              <w:spacing w:line="240" w:lineRule="auto"/>
              <w:rPr>
                <w:rFonts w:ascii="Times New Roman" w:hAnsi="Times New Roman" w:eastAsia="方正仿宋简体"/>
                <w:b/>
                <w:sz w:val="28"/>
                <w:szCs w:val="28"/>
                <w:lang w:eastAsia="en-US"/>
              </w:rPr>
            </w:pPr>
            <w:r>
              <w:rPr>
                <w:rFonts w:ascii="Times New Roman" w:hAnsi="Times New Roman" w:eastAsia="方正仿宋简体"/>
                <w:b/>
                <w:sz w:val="28"/>
                <w:szCs w:val="28"/>
                <w:lang w:eastAsia="en-US"/>
              </w:rPr>
              <w:t>污染物</w:t>
            </w:r>
          </w:p>
        </w:tc>
        <w:tc>
          <w:tcPr>
            <w:tcW w:w="1176" w:type="pct"/>
            <w:vAlign w:val="center"/>
          </w:tcPr>
          <w:p>
            <w:pPr>
              <w:pStyle w:val="55"/>
              <w:snapToGrid w:val="0"/>
              <w:spacing w:line="240" w:lineRule="auto"/>
              <w:rPr>
                <w:rFonts w:ascii="Times New Roman" w:hAnsi="Times New Roman" w:eastAsia="方正仿宋简体"/>
                <w:b/>
                <w:sz w:val="28"/>
                <w:szCs w:val="28"/>
                <w:lang w:eastAsia="en-US"/>
              </w:rPr>
            </w:pPr>
            <w:r>
              <w:rPr>
                <w:rFonts w:ascii="Times New Roman" w:hAnsi="Times New Roman" w:eastAsia="方正仿宋简体"/>
                <w:b/>
                <w:sz w:val="28"/>
                <w:szCs w:val="28"/>
                <w:lang w:eastAsia="en-US"/>
              </w:rPr>
              <w:t>年评价指标</w:t>
            </w:r>
          </w:p>
        </w:tc>
        <w:tc>
          <w:tcPr>
            <w:tcW w:w="866" w:type="pct"/>
            <w:vAlign w:val="center"/>
          </w:tcPr>
          <w:p>
            <w:pPr>
              <w:pStyle w:val="55"/>
              <w:snapToGrid w:val="0"/>
              <w:spacing w:line="240" w:lineRule="auto"/>
              <w:rPr>
                <w:rFonts w:ascii="Times New Roman" w:hAnsi="Times New Roman" w:eastAsia="方正仿宋简体"/>
                <w:b/>
                <w:sz w:val="28"/>
                <w:szCs w:val="28"/>
              </w:rPr>
            </w:pPr>
            <w:r>
              <w:rPr>
                <w:rFonts w:ascii="Times New Roman" w:hAnsi="Times New Roman" w:eastAsia="方正仿宋简体"/>
                <w:b/>
                <w:sz w:val="28"/>
                <w:szCs w:val="28"/>
                <w:lang w:eastAsia="en-US"/>
              </w:rPr>
              <w:t>现状浓度</w:t>
            </w:r>
            <w:r>
              <w:rPr>
                <w:rFonts w:ascii="Times New Roman" w:hAnsi="Times New Roman" w:eastAsia="方正仿宋简体"/>
                <w:b/>
                <w:sz w:val="28"/>
                <w:szCs w:val="28"/>
              </w:rPr>
              <w:t>（mg/m</w:t>
            </w:r>
            <w:r>
              <w:rPr>
                <w:rFonts w:ascii="Times New Roman" w:hAnsi="Times New Roman" w:eastAsia="方正仿宋简体"/>
                <w:b/>
                <w:sz w:val="28"/>
                <w:szCs w:val="28"/>
                <w:vertAlign w:val="superscript"/>
              </w:rPr>
              <w:t>3</w:t>
            </w:r>
            <w:r>
              <w:rPr>
                <w:rFonts w:ascii="Times New Roman" w:hAnsi="Times New Roman" w:eastAsia="方正仿宋简体"/>
                <w:b/>
                <w:sz w:val="28"/>
                <w:szCs w:val="28"/>
              </w:rPr>
              <w:t>）</w:t>
            </w:r>
          </w:p>
        </w:tc>
        <w:tc>
          <w:tcPr>
            <w:tcW w:w="582" w:type="pct"/>
            <w:vAlign w:val="center"/>
          </w:tcPr>
          <w:p>
            <w:pPr>
              <w:pStyle w:val="55"/>
              <w:snapToGrid w:val="0"/>
              <w:spacing w:line="240" w:lineRule="auto"/>
              <w:rPr>
                <w:rFonts w:ascii="Times New Roman" w:hAnsi="Times New Roman" w:eastAsia="方正仿宋简体"/>
                <w:b/>
                <w:sz w:val="28"/>
                <w:szCs w:val="28"/>
                <w:lang w:eastAsia="en-US"/>
              </w:rPr>
            </w:pPr>
            <w:r>
              <w:rPr>
                <w:rFonts w:ascii="Times New Roman" w:hAnsi="Times New Roman" w:eastAsia="方正仿宋简体"/>
                <w:b/>
                <w:sz w:val="28"/>
                <w:szCs w:val="28"/>
                <w:lang w:eastAsia="en-US"/>
              </w:rPr>
              <w:t>标准值</w:t>
            </w:r>
          </w:p>
        </w:tc>
        <w:tc>
          <w:tcPr>
            <w:tcW w:w="597" w:type="pct"/>
            <w:vAlign w:val="center"/>
          </w:tcPr>
          <w:p>
            <w:pPr>
              <w:pStyle w:val="55"/>
              <w:snapToGrid w:val="0"/>
              <w:spacing w:line="240" w:lineRule="auto"/>
              <w:rPr>
                <w:rFonts w:ascii="Times New Roman" w:hAnsi="Times New Roman" w:eastAsia="方正仿宋简体"/>
                <w:b/>
                <w:sz w:val="28"/>
                <w:szCs w:val="28"/>
                <w:lang w:eastAsia="en-US"/>
              </w:rPr>
            </w:pPr>
            <w:r>
              <w:rPr>
                <w:rFonts w:ascii="Times New Roman" w:hAnsi="Times New Roman" w:eastAsia="方正仿宋简体"/>
                <w:b/>
                <w:sz w:val="28"/>
                <w:szCs w:val="28"/>
                <w:lang w:eastAsia="en-US"/>
              </w:rPr>
              <w:t>占标率</w:t>
            </w:r>
          </w:p>
        </w:tc>
        <w:tc>
          <w:tcPr>
            <w:tcW w:w="579" w:type="pct"/>
            <w:vAlign w:val="center"/>
          </w:tcPr>
          <w:p>
            <w:pPr>
              <w:pStyle w:val="55"/>
              <w:snapToGrid w:val="0"/>
              <w:spacing w:line="240" w:lineRule="auto"/>
              <w:rPr>
                <w:rFonts w:ascii="Times New Roman" w:hAnsi="Times New Roman" w:eastAsia="方正仿宋简体"/>
                <w:b/>
                <w:sz w:val="28"/>
                <w:szCs w:val="28"/>
                <w:lang w:eastAsia="en-US"/>
              </w:rPr>
            </w:pPr>
            <w:r>
              <w:rPr>
                <w:rFonts w:ascii="Times New Roman" w:hAnsi="Times New Roman" w:eastAsia="方正仿宋简体"/>
                <w:b/>
                <w:sz w:val="28"/>
                <w:szCs w:val="28"/>
                <w:lang w:eastAsia="en-US"/>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83" w:hRule="atLeast"/>
          <w:jc w:val="center"/>
        </w:trPr>
        <w:tc>
          <w:tcPr>
            <w:tcW w:w="1200" w:type="pct"/>
            <w:vAlign w:val="center"/>
          </w:tcPr>
          <w:p>
            <w:pPr>
              <w:pStyle w:val="55"/>
              <w:snapToGrid w:val="0"/>
              <w:spacing w:line="240" w:lineRule="auto"/>
              <w:rPr>
                <w:rFonts w:ascii="Times New Roman" w:hAnsi="Times New Roman" w:eastAsia="方正仿宋简体"/>
                <w:sz w:val="28"/>
                <w:szCs w:val="28"/>
                <w:lang w:eastAsia="en-US"/>
              </w:rPr>
            </w:pPr>
            <w:r>
              <w:rPr>
                <w:rFonts w:ascii="Times New Roman" w:hAnsi="Times New Roman" w:eastAsia="方正仿宋简体"/>
                <w:sz w:val="28"/>
                <w:szCs w:val="28"/>
                <w:lang w:eastAsia="en-US"/>
              </w:rPr>
              <w:t>SO</w:t>
            </w:r>
            <w:r>
              <w:rPr>
                <w:rFonts w:ascii="Times New Roman" w:hAnsi="Times New Roman" w:eastAsia="方正仿宋简体"/>
                <w:sz w:val="28"/>
                <w:szCs w:val="28"/>
                <w:vertAlign w:val="subscript"/>
                <w:lang w:eastAsia="en-US"/>
              </w:rPr>
              <w:t>2</w:t>
            </w:r>
          </w:p>
        </w:tc>
        <w:tc>
          <w:tcPr>
            <w:tcW w:w="1176" w:type="pct"/>
            <w:vAlign w:val="center"/>
          </w:tcPr>
          <w:p>
            <w:pPr>
              <w:pStyle w:val="55"/>
              <w:snapToGrid w:val="0"/>
              <w:spacing w:line="240" w:lineRule="auto"/>
              <w:rPr>
                <w:rFonts w:ascii="Times New Roman" w:hAnsi="Times New Roman" w:eastAsia="方正仿宋简体"/>
                <w:sz w:val="28"/>
                <w:szCs w:val="28"/>
                <w:lang w:eastAsia="en-US"/>
              </w:rPr>
            </w:pPr>
            <w:r>
              <w:rPr>
                <w:rFonts w:ascii="Times New Roman" w:hAnsi="Times New Roman" w:eastAsia="方正仿宋简体"/>
                <w:sz w:val="28"/>
                <w:szCs w:val="28"/>
                <w:lang w:eastAsia="en-US"/>
              </w:rPr>
              <w:t>年平均质量浓度</w:t>
            </w:r>
          </w:p>
        </w:tc>
        <w:tc>
          <w:tcPr>
            <w:tcW w:w="866"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lang w:eastAsia="en-US"/>
              </w:rPr>
              <w:t>0.0</w:t>
            </w:r>
            <w:r>
              <w:rPr>
                <w:rFonts w:ascii="Times New Roman" w:hAnsi="Times New Roman" w:eastAsia="方正仿宋简体"/>
                <w:sz w:val="28"/>
                <w:szCs w:val="28"/>
              </w:rPr>
              <w:t>13</w:t>
            </w:r>
          </w:p>
        </w:tc>
        <w:tc>
          <w:tcPr>
            <w:tcW w:w="582" w:type="pct"/>
            <w:vAlign w:val="center"/>
          </w:tcPr>
          <w:p>
            <w:pPr>
              <w:pStyle w:val="55"/>
              <w:snapToGrid w:val="0"/>
              <w:spacing w:line="240" w:lineRule="auto"/>
              <w:rPr>
                <w:rFonts w:ascii="Times New Roman" w:hAnsi="Times New Roman" w:eastAsia="方正仿宋简体"/>
                <w:sz w:val="28"/>
                <w:szCs w:val="28"/>
                <w:lang w:eastAsia="en-US"/>
              </w:rPr>
            </w:pPr>
            <w:r>
              <w:rPr>
                <w:rFonts w:ascii="Times New Roman" w:hAnsi="Times New Roman" w:eastAsia="方正仿宋简体"/>
                <w:sz w:val="28"/>
                <w:szCs w:val="28"/>
                <w:lang w:eastAsia="en-US"/>
              </w:rPr>
              <w:t>0.06</w:t>
            </w:r>
          </w:p>
        </w:tc>
        <w:tc>
          <w:tcPr>
            <w:tcW w:w="597"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lang w:bidi="ar"/>
              </w:rPr>
              <w:t>21.67%</w:t>
            </w:r>
          </w:p>
        </w:tc>
        <w:tc>
          <w:tcPr>
            <w:tcW w:w="579" w:type="pct"/>
            <w:vAlign w:val="center"/>
          </w:tcPr>
          <w:p>
            <w:pPr>
              <w:pStyle w:val="55"/>
              <w:snapToGrid w:val="0"/>
              <w:spacing w:line="240" w:lineRule="auto"/>
              <w:rPr>
                <w:rFonts w:ascii="Times New Roman" w:hAnsi="Times New Roman" w:eastAsia="方正仿宋简体"/>
                <w:sz w:val="28"/>
                <w:szCs w:val="28"/>
                <w:lang w:eastAsia="en-US"/>
              </w:rPr>
            </w:pPr>
            <w:r>
              <w:rPr>
                <w:rFonts w:ascii="Times New Roman" w:hAnsi="Times New Roman" w:eastAsia="方正仿宋简体"/>
                <w:sz w:val="28"/>
                <w:szCs w:val="28"/>
                <w:lang w:eastAsia="en-US"/>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80" w:hRule="atLeast"/>
          <w:jc w:val="center"/>
        </w:trPr>
        <w:tc>
          <w:tcPr>
            <w:tcW w:w="1200" w:type="pct"/>
            <w:vAlign w:val="center"/>
          </w:tcPr>
          <w:p>
            <w:pPr>
              <w:pStyle w:val="55"/>
              <w:snapToGrid w:val="0"/>
              <w:spacing w:line="240" w:lineRule="auto"/>
              <w:rPr>
                <w:rFonts w:ascii="Times New Roman" w:hAnsi="Times New Roman" w:eastAsia="方正仿宋简体"/>
                <w:sz w:val="28"/>
                <w:szCs w:val="28"/>
                <w:lang w:eastAsia="en-US"/>
              </w:rPr>
            </w:pPr>
            <w:r>
              <w:rPr>
                <w:rFonts w:ascii="Times New Roman" w:hAnsi="Times New Roman" w:eastAsia="方正仿宋简体"/>
                <w:sz w:val="28"/>
                <w:szCs w:val="28"/>
                <w:lang w:eastAsia="en-US"/>
              </w:rPr>
              <w:t>NO</w:t>
            </w:r>
            <w:r>
              <w:rPr>
                <w:rFonts w:ascii="Times New Roman" w:hAnsi="Times New Roman" w:eastAsia="方正仿宋简体"/>
                <w:sz w:val="28"/>
                <w:szCs w:val="28"/>
                <w:vertAlign w:val="subscript"/>
                <w:lang w:eastAsia="en-US"/>
              </w:rPr>
              <w:t>2</w:t>
            </w:r>
          </w:p>
        </w:tc>
        <w:tc>
          <w:tcPr>
            <w:tcW w:w="1176" w:type="pct"/>
            <w:vAlign w:val="center"/>
          </w:tcPr>
          <w:p>
            <w:pPr>
              <w:pStyle w:val="55"/>
              <w:snapToGrid w:val="0"/>
              <w:spacing w:line="240" w:lineRule="auto"/>
              <w:rPr>
                <w:rFonts w:ascii="Times New Roman" w:hAnsi="Times New Roman" w:eastAsia="方正仿宋简体"/>
                <w:sz w:val="28"/>
                <w:szCs w:val="28"/>
                <w:lang w:eastAsia="en-US"/>
              </w:rPr>
            </w:pPr>
            <w:r>
              <w:rPr>
                <w:rFonts w:ascii="Times New Roman" w:hAnsi="Times New Roman" w:eastAsia="方正仿宋简体"/>
                <w:sz w:val="28"/>
                <w:szCs w:val="28"/>
                <w:lang w:eastAsia="en-US"/>
              </w:rPr>
              <w:t>年平均质量浓度</w:t>
            </w:r>
          </w:p>
        </w:tc>
        <w:tc>
          <w:tcPr>
            <w:tcW w:w="866"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lang w:eastAsia="en-US"/>
              </w:rPr>
              <w:t>0.03</w:t>
            </w:r>
            <w:r>
              <w:rPr>
                <w:rFonts w:ascii="Times New Roman" w:hAnsi="Times New Roman" w:eastAsia="方正仿宋简体"/>
                <w:sz w:val="28"/>
                <w:szCs w:val="28"/>
              </w:rPr>
              <w:t>0</w:t>
            </w:r>
          </w:p>
        </w:tc>
        <w:tc>
          <w:tcPr>
            <w:tcW w:w="582" w:type="pct"/>
            <w:vAlign w:val="center"/>
          </w:tcPr>
          <w:p>
            <w:pPr>
              <w:pStyle w:val="55"/>
              <w:snapToGrid w:val="0"/>
              <w:spacing w:line="240" w:lineRule="auto"/>
              <w:rPr>
                <w:rFonts w:ascii="Times New Roman" w:hAnsi="Times New Roman" w:eastAsia="方正仿宋简体"/>
                <w:sz w:val="28"/>
                <w:szCs w:val="28"/>
                <w:lang w:eastAsia="en-US"/>
              </w:rPr>
            </w:pPr>
            <w:r>
              <w:rPr>
                <w:rFonts w:ascii="Times New Roman" w:hAnsi="Times New Roman" w:eastAsia="方正仿宋简体"/>
                <w:sz w:val="28"/>
                <w:szCs w:val="28"/>
                <w:lang w:eastAsia="en-US"/>
              </w:rPr>
              <w:t>0.04</w:t>
            </w:r>
          </w:p>
        </w:tc>
        <w:tc>
          <w:tcPr>
            <w:tcW w:w="597"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lang w:bidi="ar"/>
              </w:rPr>
              <w:t>75.00%</w:t>
            </w:r>
          </w:p>
        </w:tc>
        <w:tc>
          <w:tcPr>
            <w:tcW w:w="579"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82" w:hRule="atLeast"/>
          <w:jc w:val="center"/>
        </w:trPr>
        <w:tc>
          <w:tcPr>
            <w:tcW w:w="1200" w:type="pct"/>
            <w:vAlign w:val="center"/>
          </w:tcPr>
          <w:p>
            <w:pPr>
              <w:pStyle w:val="55"/>
              <w:snapToGrid w:val="0"/>
              <w:spacing w:line="240" w:lineRule="auto"/>
              <w:rPr>
                <w:rFonts w:ascii="Times New Roman" w:hAnsi="Times New Roman" w:eastAsia="方正仿宋简体"/>
                <w:sz w:val="28"/>
                <w:szCs w:val="28"/>
                <w:lang w:eastAsia="en-US"/>
              </w:rPr>
            </w:pPr>
            <w:r>
              <w:rPr>
                <w:rFonts w:ascii="Times New Roman" w:hAnsi="Times New Roman" w:eastAsia="方正仿宋简体"/>
                <w:sz w:val="28"/>
                <w:szCs w:val="28"/>
                <w:lang w:eastAsia="en-US"/>
              </w:rPr>
              <w:t>PM</w:t>
            </w:r>
            <w:r>
              <w:rPr>
                <w:rFonts w:ascii="Times New Roman" w:hAnsi="Times New Roman" w:eastAsia="方正仿宋简体"/>
                <w:sz w:val="28"/>
                <w:szCs w:val="28"/>
                <w:vertAlign w:val="subscript"/>
                <w:lang w:eastAsia="en-US"/>
              </w:rPr>
              <w:t>10</w:t>
            </w:r>
          </w:p>
        </w:tc>
        <w:tc>
          <w:tcPr>
            <w:tcW w:w="1176" w:type="pct"/>
            <w:vAlign w:val="center"/>
          </w:tcPr>
          <w:p>
            <w:pPr>
              <w:pStyle w:val="55"/>
              <w:snapToGrid w:val="0"/>
              <w:spacing w:line="240" w:lineRule="auto"/>
              <w:rPr>
                <w:rFonts w:ascii="Times New Roman" w:hAnsi="Times New Roman" w:eastAsia="方正仿宋简体"/>
                <w:sz w:val="28"/>
                <w:szCs w:val="28"/>
                <w:lang w:eastAsia="en-US"/>
              </w:rPr>
            </w:pPr>
            <w:r>
              <w:rPr>
                <w:rFonts w:ascii="Times New Roman" w:hAnsi="Times New Roman" w:eastAsia="方正仿宋简体"/>
                <w:sz w:val="28"/>
                <w:szCs w:val="28"/>
                <w:lang w:eastAsia="en-US"/>
              </w:rPr>
              <w:t>年平均质量浓度</w:t>
            </w:r>
          </w:p>
        </w:tc>
        <w:tc>
          <w:tcPr>
            <w:tcW w:w="866"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lang w:eastAsia="en-US"/>
              </w:rPr>
              <w:t>0.0</w:t>
            </w:r>
            <w:r>
              <w:rPr>
                <w:rFonts w:ascii="Times New Roman" w:hAnsi="Times New Roman" w:eastAsia="方正仿宋简体"/>
                <w:sz w:val="28"/>
                <w:szCs w:val="28"/>
              </w:rPr>
              <w:t>86</w:t>
            </w:r>
          </w:p>
        </w:tc>
        <w:tc>
          <w:tcPr>
            <w:tcW w:w="582" w:type="pct"/>
            <w:vAlign w:val="center"/>
          </w:tcPr>
          <w:p>
            <w:pPr>
              <w:pStyle w:val="55"/>
              <w:snapToGrid w:val="0"/>
              <w:spacing w:line="240" w:lineRule="auto"/>
              <w:rPr>
                <w:rFonts w:ascii="Times New Roman" w:hAnsi="Times New Roman" w:eastAsia="方正仿宋简体"/>
                <w:sz w:val="28"/>
                <w:szCs w:val="28"/>
                <w:lang w:eastAsia="en-US"/>
              </w:rPr>
            </w:pPr>
            <w:r>
              <w:rPr>
                <w:rFonts w:ascii="Times New Roman" w:hAnsi="Times New Roman" w:eastAsia="方正仿宋简体"/>
                <w:sz w:val="28"/>
                <w:szCs w:val="28"/>
                <w:lang w:eastAsia="en-US"/>
              </w:rPr>
              <w:t>0.07</w:t>
            </w:r>
          </w:p>
        </w:tc>
        <w:tc>
          <w:tcPr>
            <w:tcW w:w="597"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lang w:bidi="ar"/>
              </w:rPr>
              <w:t>122.86%</w:t>
            </w:r>
          </w:p>
        </w:tc>
        <w:tc>
          <w:tcPr>
            <w:tcW w:w="579"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rPr>
              <w:t>不达标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00" w:type="pct"/>
            <w:vAlign w:val="center"/>
          </w:tcPr>
          <w:p>
            <w:pPr>
              <w:pStyle w:val="55"/>
              <w:snapToGrid w:val="0"/>
              <w:spacing w:line="240" w:lineRule="auto"/>
              <w:rPr>
                <w:rFonts w:ascii="Times New Roman" w:hAnsi="Times New Roman" w:eastAsia="方正仿宋简体"/>
                <w:sz w:val="28"/>
                <w:szCs w:val="28"/>
                <w:lang w:eastAsia="en-US"/>
              </w:rPr>
            </w:pPr>
            <w:r>
              <w:rPr>
                <w:rFonts w:ascii="Times New Roman" w:hAnsi="Times New Roman" w:eastAsia="方正仿宋简体"/>
                <w:sz w:val="28"/>
                <w:szCs w:val="28"/>
                <w:lang w:eastAsia="en-US"/>
              </w:rPr>
              <w:t>PM</w:t>
            </w:r>
            <w:r>
              <w:rPr>
                <w:rFonts w:ascii="Times New Roman" w:hAnsi="Times New Roman" w:eastAsia="方正仿宋简体"/>
                <w:sz w:val="28"/>
                <w:szCs w:val="28"/>
                <w:vertAlign w:val="subscript"/>
                <w:lang w:eastAsia="en-US"/>
              </w:rPr>
              <w:t>2.5</w:t>
            </w:r>
          </w:p>
        </w:tc>
        <w:tc>
          <w:tcPr>
            <w:tcW w:w="1176" w:type="pct"/>
            <w:vAlign w:val="center"/>
          </w:tcPr>
          <w:p>
            <w:pPr>
              <w:pStyle w:val="55"/>
              <w:snapToGrid w:val="0"/>
              <w:spacing w:line="240" w:lineRule="auto"/>
              <w:rPr>
                <w:rFonts w:ascii="Times New Roman" w:hAnsi="Times New Roman" w:eastAsia="方正仿宋简体"/>
                <w:sz w:val="28"/>
                <w:szCs w:val="28"/>
                <w:lang w:eastAsia="en-US"/>
              </w:rPr>
            </w:pPr>
            <w:r>
              <w:rPr>
                <w:rFonts w:ascii="Times New Roman" w:hAnsi="Times New Roman" w:eastAsia="方正仿宋简体"/>
                <w:sz w:val="28"/>
                <w:szCs w:val="28"/>
                <w:lang w:eastAsia="en-US"/>
              </w:rPr>
              <w:t>年平均质量浓度</w:t>
            </w:r>
          </w:p>
        </w:tc>
        <w:tc>
          <w:tcPr>
            <w:tcW w:w="866"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lang w:eastAsia="en-US"/>
              </w:rPr>
              <w:t>0.0</w:t>
            </w:r>
            <w:r>
              <w:rPr>
                <w:rFonts w:ascii="Times New Roman" w:hAnsi="Times New Roman" w:eastAsia="方正仿宋简体"/>
                <w:sz w:val="28"/>
                <w:szCs w:val="28"/>
              </w:rPr>
              <w:t>52</w:t>
            </w:r>
          </w:p>
        </w:tc>
        <w:tc>
          <w:tcPr>
            <w:tcW w:w="582" w:type="pct"/>
            <w:vAlign w:val="center"/>
          </w:tcPr>
          <w:p>
            <w:pPr>
              <w:pStyle w:val="55"/>
              <w:snapToGrid w:val="0"/>
              <w:spacing w:line="240" w:lineRule="auto"/>
              <w:rPr>
                <w:rFonts w:ascii="Times New Roman" w:hAnsi="Times New Roman" w:eastAsia="方正仿宋简体"/>
                <w:sz w:val="28"/>
                <w:szCs w:val="28"/>
                <w:lang w:eastAsia="en-US"/>
              </w:rPr>
            </w:pPr>
            <w:r>
              <w:rPr>
                <w:rFonts w:ascii="Times New Roman" w:hAnsi="Times New Roman" w:eastAsia="方正仿宋简体"/>
                <w:sz w:val="28"/>
                <w:szCs w:val="28"/>
                <w:lang w:eastAsia="en-US"/>
              </w:rPr>
              <w:t>0.035</w:t>
            </w:r>
          </w:p>
        </w:tc>
        <w:tc>
          <w:tcPr>
            <w:tcW w:w="597"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lang w:bidi="ar"/>
              </w:rPr>
              <w:t>148.57%</w:t>
            </w:r>
          </w:p>
        </w:tc>
        <w:tc>
          <w:tcPr>
            <w:tcW w:w="579"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rPr>
              <w:t>不达标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00"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rPr>
              <w:t>CO(95百分位）</w:t>
            </w:r>
          </w:p>
        </w:tc>
        <w:tc>
          <w:tcPr>
            <w:tcW w:w="1176" w:type="pct"/>
            <w:vAlign w:val="center"/>
          </w:tcPr>
          <w:p>
            <w:pPr>
              <w:pStyle w:val="55"/>
              <w:snapToGrid w:val="0"/>
              <w:spacing w:line="240" w:lineRule="auto"/>
              <w:rPr>
                <w:rFonts w:ascii="Times New Roman" w:hAnsi="Times New Roman" w:eastAsia="方正仿宋简体"/>
                <w:sz w:val="28"/>
                <w:szCs w:val="28"/>
                <w:lang w:eastAsia="en-US"/>
              </w:rPr>
            </w:pPr>
            <w:r>
              <w:rPr>
                <w:rFonts w:ascii="Times New Roman" w:hAnsi="Times New Roman" w:eastAsia="方正仿宋简体"/>
                <w:sz w:val="28"/>
                <w:szCs w:val="28"/>
                <w:lang w:eastAsia="en-US"/>
              </w:rPr>
              <w:t>年平均质量浓度</w:t>
            </w:r>
          </w:p>
        </w:tc>
        <w:tc>
          <w:tcPr>
            <w:tcW w:w="866"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rPr>
              <w:t>1.6</w:t>
            </w:r>
          </w:p>
        </w:tc>
        <w:tc>
          <w:tcPr>
            <w:tcW w:w="582"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rPr>
              <w:t>4.0</w:t>
            </w:r>
          </w:p>
        </w:tc>
        <w:tc>
          <w:tcPr>
            <w:tcW w:w="597"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lang w:bidi="ar"/>
              </w:rPr>
              <w:t>40.00%</w:t>
            </w:r>
          </w:p>
        </w:tc>
        <w:tc>
          <w:tcPr>
            <w:tcW w:w="579"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00"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rPr>
              <w:t>O</w:t>
            </w:r>
            <w:r>
              <w:rPr>
                <w:rFonts w:ascii="Times New Roman" w:hAnsi="Times New Roman" w:eastAsia="方正仿宋简体"/>
                <w:sz w:val="28"/>
                <w:szCs w:val="28"/>
                <w:vertAlign w:val="subscript"/>
              </w:rPr>
              <w:t xml:space="preserve">3 </w:t>
            </w:r>
            <w:r>
              <w:rPr>
                <w:rFonts w:ascii="Times New Roman" w:hAnsi="Times New Roman" w:eastAsia="方正仿宋简体"/>
                <w:sz w:val="28"/>
                <w:szCs w:val="28"/>
              </w:rPr>
              <w:t>8h(90百分位)</w:t>
            </w:r>
          </w:p>
        </w:tc>
        <w:tc>
          <w:tcPr>
            <w:tcW w:w="1176" w:type="pct"/>
            <w:vAlign w:val="center"/>
          </w:tcPr>
          <w:p>
            <w:pPr>
              <w:pStyle w:val="55"/>
              <w:snapToGrid w:val="0"/>
              <w:spacing w:line="240" w:lineRule="auto"/>
              <w:rPr>
                <w:rFonts w:ascii="Times New Roman" w:hAnsi="Times New Roman" w:eastAsia="方正仿宋简体"/>
                <w:sz w:val="28"/>
                <w:szCs w:val="28"/>
                <w:lang w:eastAsia="en-US"/>
              </w:rPr>
            </w:pPr>
            <w:r>
              <w:rPr>
                <w:rFonts w:ascii="Times New Roman" w:hAnsi="Times New Roman" w:eastAsia="方正仿宋简体"/>
                <w:sz w:val="28"/>
                <w:szCs w:val="28"/>
                <w:lang w:eastAsia="en-US"/>
              </w:rPr>
              <w:t>年平均质量浓度</w:t>
            </w:r>
          </w:p>
        </w:tc>
        <w:tc>
          <w:tcPr>
            <w:tcW w:w="866"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rPr>
              <w:t>0.175</w:t>
            </w:r>
          </w:p>
        </w:tc>
        <w:tc>
          <w:tcPr>
            <w:tcW w:w="582"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rPr>
              <w:t>0.16</w:t>
            </w:r>
          </w:p>
        </w:tc>
        <w:tc>
          <w:tcPr>
            <w:tcW w:w="597"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lang w:bidi="ar"/>
              </w:rPr>
              <w:t>109.38%</w:t>
            </w:r>
          </w:p>
        </w:tc>
        <w:tc>
          <w:tcPr>
            <w:tcW w:w="579" w:type="pct"/>
            <w:vAlign w:val="center"/>
          </w:tcPr>
          <w:p>
            <w:pPr>
              <w:pStyle w:val="55"/>
              <w:snapToGrid w:val="0"/>
              <w:spacing w:line="240" w:lineRule="auto"/>
              <w:rPr>
                <w:rFonts w:ascii="Times New Roman" w:hAnsi="Times New Roman" w:eastAsia="方正仿宋简体"/>
                <w:sz w:val="28"/>
                <w:szCs w:val="28"/>
              </w:rPr>
            </w:pPr>
            <w:r>
              <w:rPr>
                <w:rFonts w:ascii="Times New Roman" w:hAnsi="Times New Roman" w:eastAsia="方正仿宋简体"/>
                <w:sz w:val="28"/>
                <w:szCs w:val="28"/>
              </w:rPr>
              <w:t>不达标</w:t>
            </w:r>
          </w:p>
        </w:tc>
      </w:tr>
    </w:tbl>
    <w:p>
      <w:pPr>
        <w:pStyle w:val="57"/>
        <w:spacing w:line="560" w:lineRule="exact"/>
        <w:ind w:firstLine="640"/>
        <w:rPr>
          <w:rFonts w:ascii="Times New Roman" w:hAnsi="Times New Roman" w:eastAsia="方正仿宋简体"/>
          <w:color w:val="000000" w:themeColor="text1"/>
          <w:kern w:val="2"/>
          <w:sz w:val="32"/>
          <w:szCs w:val="32"/>
          <w14:textFill>
            <w14:solidFill>
              <w14:schemeClr w14:val="tx1"/>
            </w14:solidFill>
          </w14:textFill>
        </w:rPr>
      </w:pPr>
      <w:r>
        <w:rPr>
          <w:rFonts w:ascii="Times New Roman" w:hAnsi="Times New Roman" w:eastAsia="方正仿宋简体"/>
          <w:color w:val="000000" w:themeColor="text1"/>
          <w:kern w:val="2"/>
          <w:sz w:val="32"/>
          <w:szCs w:val="32"/>
          <w14:textFill>
            <w14:solidFill>
              <w14:schemeClr w14:val="tx1"/>
            </w14:solidFill>
          </w14:textFill>
        </w:rPr>
        <w:t>根据济宁市县区环境空气质量日报以AQI值统计，2020年度济宁市县区空气质量为优的平均天数为36天，良好天数平均为198天，优良天数为234天，优良率平均值为64.8％。根据《环境影响评价技术导则 大气环境》（HJ2.2-2018）中6.4.1.1城市环境空气质量达标情况评价指标为SO</w:t>
      </w:r>
      <w:r>
        <w:rPr>
          <w:rFonts w:ascii="Times New Roman" w:hAnsi="Times New Roman" w:eastAsia="方正仿宋简体"/>
          <w:color w:val="000000" w:themeColor="text1"/>
          <w:kern w:val="2"/>
          <w:sz w:val="32"/>
          <w:szCs w:val="32"/>
          <w:vertAlign w:val="subscript"/>
          <w14:textFill>
            <w14:solidFill>
              <w14:schemeClr w14:val="tx1"/>
            </w14:solidFill>
          </w14:textFill>
        </w:rPr>
        <w:t>2</w:t>
      </w:r>
      <w:r>
        <w:rPr>
          <w:rFonts w:ascii="Times New Roman" w:hAnsi="Times New Roman" w:eastAsia="方正仿宋简体"/>
          <w:color w:val="000000" w:themeColor="text1"/>
          <w:kern w:val="2"/>
          <w:sz w:val="32"/>
          <w:szCs w:val="32"/>
          <w14:textFill>
            <w14:solidFill>
              <w14:schemeClr w14:val="tx1"/>
            </w14:solidFill>
          </w14:textFill>
        </w:rPr>
        <w:t>、NO</w:t>
      </w:r>
      <w:r>
        <w:rPr>
          <w:rFonts w:ascii="Times New Roman" w:hAnsi="Times New Roman" w:eastAsia="方正仿宋简体"/>
          <w:color w:val="000000" w:themeColor="text1"/>
          <w:kern w:val="2"/>
          <w:sz w:val="32"/>
          <w:szCs w:val="32"/>
          <w:vertAlign w:val="subscript"/>
          <w14:textFill>
            <w14:solidFill>
              <w14:schemeClr w14:val="tx1"/>
            </w14:solidFill>
          </w14:textFill>
        </w:rPr>
        <w:t>2</w:t>
      </w:r>
      <w:r>
        <w:rPr>
          <w:rFonts w:ascii="Times New Roman" w:hAnsi="Times New Roman" w:eastAsia="方正仿宋简体"/>
          <w:color w:val="000000" w:themeColor="text1"/>
          <w:kern w:val="2"/>
          <w:sz w:val="32"/>
          <w:szCs w:val="32"/>
          <w14:textFill>
            <w14:solidFill>
              <w14:schemeClr w14:val="tx1"/>
            </w14:solidFill>
          </w14:textFill>
        </w:rPr>
        <w:t>、PM</w:t>
      </w:r>
      <w:r>
        <w:rPr>
          <w:rFonts w:ascii="Times New Roman" w:hAnsi="Times New Roman" w:eastAsia="方正仿宋简体"/>
          <w:color w:val="000000" w:themeColor="text1"/>
          <w:kern w:val="2"/>
          <w:sz w:val="32"/>
          <w:szCs w:val="32"/>
          <w:vertAlign w:val="subscript"/>
          <w14:textFill>
            <w14:solidFill>
              <w14:schemeClr w14:val="tx1"/>
            </w14:solidFill>
          </w14:textFill>
        </w:rPr>
        <w:t>10</w:t>
      </w:r>
      <w:r>
        <w:rPr>
          <w:rFonts w:ascii="Times New Roman" w:hAnsi="Times New Roman" w:eastAsia="方正仿宋简体"/>
          <w:color w:val="000000" w:themeColor="text1"/>
          <w:kern w:val="2"/>
          <w:sz w:val="32"/>
          <w:szCs w:val="32"/>
          <w14:textFill>
            <w14:solidFill>
              <w14:schemeClr w14:val="tx1"/>
            </w14:solidFill>
          </w14:textFill>
        </w:rPr>
        <w:t xml:space="preserve">、PM </w:t>
      </w:r>
      <w:r>
        <w:rPr>
          <w:rFonts w:ascii="Times New Roman" w:hAnsi="Times New Roman" w:eastAsia="方正仿宋简体"/>
          <w:color w:val="000000" w:themeColor="text1"/>
          <w:kern w:val="2"/>
          <w:sz w:val="32"/>
          <w:szCs w:val="32"/>
          <w:vertAlign w:val="subscript"/>
          <w14:textFill>
            <w14:solidFill>
              <w14:schemeClr w14:val="tx1"/>
            </w14:solidFill>
          </w14:textFill>
        </w:rPr>
        <w:t>2.5</w:t>
      </w:r>
      <w:r>
        <w:rPr>
          <w:rFonts w:ascii="Times New Roman" w:hAnsi="Times New Roman" w:eastAsia="方正仿宋简体"/>
          <w:color w:val="000000" w:themeColor="text1"/>
          <w:kern w:val="2"/>
          <w:sz w:val="32"/>
          <w:szCs w:val="32"/>
          <w14:textFill>
            <w14:solidFill>
              <w14:schemeClr w14:val="tx1"/>
            </w14:solidFill>
          </w14:textFill>
        </w:rPr>
        <w:t>、CO和O</w:t>
      </w:r>
      <w:r>
        <w:rPr>
          <w:rFonts w:ascii="Times New Roman" w:hAnsi="Times New Roman" w:eastAsia="方正仿宋简体"/>
          <w:color w:val="000000" w:themeColor="text1"/>
          <w:kern w:val="2"/>
          <w:sz w:val="32"/>
          <w:szCs w:val="32"/>
          <w:vertAlign w:val="subscript"/>
          <w14:textFill>
            <w14:solidFill>
              <w14:schemeClr w14:val="tx1"/>
            </w14:solidFill>
          </w14:textFill>
        </w:rPr>
        <w:t>3</w:t>
      </w:r>
      <w:r>
        <w:rPr>
          <w:rFonts w:ascii="Times New Roman" w:hAnsi="Times New Roman" w:eastAsia="方正仿宋简体"/>
          <w:color w:val="000000" w:themeColor="text1"/>
          <w:kern w:val="2"/>
          <w:sz w:val="32"/>
          <w:szCs w:val="32"/>
          <w14:textFill>
            <w14:solidFill>
              <w14:schemeClr w14:val="tx1"/>
            </w14:solidFill>
          </w14:textFill>
        </w:rPr>
        <w:t>，六项污染物全部达标即为城市环境空气质量达标。济宁市2020年PM</w:t>
      </w:r>
      <w:r>
        <w:rPr>
          <w:rFonts w:ascii="Times New Roman" w:hAnsi="Times New Roman" w:eastAsia="方正仿宋简体"/>
          <w:color w:val="000000" w:themeColor="text1"/>
          <w:kern w:val="2"/>
          <w:sz w:val="32"/>
          <w:szCs w:val="32"/>
          <w:vertAlign w:val="subscript"/>
          <w14:textFill>
            <w14:solidFill>
              <w14:schemeClr w14:val="tx1"/>
            </w14:solidFill>
          </w14:textFill>
        </w:rPr>
        <w:t>2.5</w:t>
      </w:r>
      <w:r>
        <w:rPr>
          <w:rFonts w:ascii="Times New Roman" w:hAnsi="Times New Roman" w:eastAsia="方正仿宋简体"/>
          <w:color w:val="000000" w:themeColor="text1"/>
          <w:kern w:val="2"/>
          <w:sz w:val="32"/>
          <w:szCs w:val="32"/>
          <w14:textFill>
            <w14:solidFill>
              <w14:schemeClr w14:val="tx1"/>
            </w14:solidFill>
          </w14:textFill>
        </w:rPr>
        <w:t>、PM</w:t>
      </w:r>
      <w:r>
        <w:rPr>
          <w:rFonts w:ascii="Times New Roman" w:hAnsi="Times New Roman" w:eastAsia="方正仿宋简体"/>
          <w:color w:val="000000" w:themeColor="text1"/>
          <w:kern w:val="2"/>
          <w:sz w:val="32"/>
          <w:szCs w:val="32"/>
          <w:vertAlign w:val="subscript"/>
          <w14:textFill>
            <w14:solidFill>
              <w14:schemeClr w14:val="tx1"/>
            </w14:solidFill>
          </w14:textFill>
        </w:rPr>
        <w:t>10</w:t>
      </w:r>
      <w:r>
        <w:rPr>
          <w:rFonts w:ascii="Times New Roman" w:hAnsi="Times New Roman" w:eastAsia="方正仿宋简体"/>
          <w:color w:val="000000" w:themeColor="text1"/>
          <w:kern w:val="2"/>
          <w:sz w:val="32"/>
          <w:szCs w:val="32"/>
          <w14:textFill>
            <w14:solidFill>
              <w14:schemeClr w14:val="tx1"/>
            </w14:solidFill>
          </w14:textFill>
        </w:rPr>
        <w:t>的年均浓度及O</w:t>
      </w:r>
      <w:r>
        <w:rPr>
          <w:rFonts w:ascii="Times New Roman" w:hAnsi="Times New Roman" w:eastAsia="方正仿宋简体"/>
          <w:color w:val="000000" w:themeColor="text1"/>
          <w:kern w:val="2"/>
          <w:sz w:val="32"/>
          <w:szCs w:val="32"/>
          <w:vertAlign w:val="subscript"/>
          <w14:textFill>
            <w14:solidFill>
              <w14:schemeClr w14:val="tx1"/>
            </w14:solidFill>
          </w14:textFill>
        </w:rPr>
        <w:t>3</w:t>
      </w:r>
      <w:r>
        <w:rPr>
          <w:rFonts w:ascii="Times New Roman" w:hAnsi="Times New Roman" w:eastAsia="方正仿宋简体"/>
          <w:color w:val="000000" w:themeColor="text1"/>
          <w:kern w:val="2"/>
          <w:sz w:val="32"/>
          <w:szCs w:val="32"/>
          <w14:textFill>
            <w14:solidFill>
              <w14:schemeClr w14:val="tx1"/>
            </w14:solidFill>
          </w14:textFill>
        </w:rPr>
        <w:t>年度90百分位质量浓度不能满足《环境空气质量标准》（GB3095-2012）二级标准要求，年评价不达标，项目所在处于不达标区。</w:t>
      </w:r>
    </w:p>
    <w:p>
      <w:pPr>
        <w:pStyle w:val="57"/>
        <w:spacing w:line="560" w:lineRule="exact"/>
        <w:ind w:firstLine="640"/>
        <w:rPr>
          <w:rFonts w:ascii="Times New Roman" w:hAnsi="Times New Roman" w:eastAsia="方正仿宋简体"/>
          <w:color w:val="000000" w:themeColor="text1"/>
          <w:kern w:val="2"/>
          <w:sz w:val="32"/>
          <w:szCs w:val="32"/>
          <w14:textFill>
            <w14:solidFill>
              <w14:schemeClr w14:val="tx1"/>
            </w14:solidFill>
          </w14:textFill>
        </w:rPr>
      </w:pPr>
      <w:r>
        <w:rPr>
          <w:rFonts w:ascii="Times New Roman" w:hAnsi="Times New Roman" w:eastAsia="方正仿宋简体"/>
          <w:color w:val="000000" w:themeColor="text1"/>
          <w:kern w:val="2"/>
          <w:sz w:val="32"/>
          <w:szCs w:val="32"/>
          <w14:textFill>
            <w14:solidFill>
              <w14:schemeClr w14:val="tx1"/>
            </w14:solidFill>
          </w14:textFill>
        </w:rPr>
        <w:t>根据济宁市生态环境委员会办公室关于印发《济宁市深入打好蓝天、碧水、净土保卫战行动计划（2021—2025年）》的通知》，其主要目标为到2025年，全市环境空气质量持续改善，PM</w:t>
      </w:r>
      <w:r>
        <w:rPr>
          <w:rFonts w:ascii="Times New Roman" w:hAnsi="Times New Roman" w:eastAsia="方正仿宋简体"/>
          <w:color w:val="000000" w:themeColor="text1"/>
          <w:kern w:val="2"/>
          <w:sz w:val="32"/>
          <w:szCs w:val="32"/>
          <w:vertAlign w:val="subscript"/>
          <w14:textFill>
            <w14:solidFill>
              <w14:schemeClr w14:val="tx1"/>
            </w14:solidFill>
          </w14:textFill>
        </w:rPr>
        <w:t>2.5</w:t>
      </w:r>
      <w:r>
        <w:rPr>
          <w:rFonts w:ascii="Times New Roman" w:hAnsi="Times New Roman" w:eastAsia="方正仿宋简体"/>
          <w:color w:val="000000" w:themeColor="text1"/>
          <w:kern w:val="2"/>
          <w:sz w:val="32"/>
          <w:szCs w:val="32"/>
          <w14:textFill>
            <w14:solidFill>
              <w14:schemeClr w14:val="tx1"/>
            </w14:solidFill>
          </w14:textFill>
        </w:rPr>
        <w:t>年均浓度达到42微克/立方米，O</w:t>
      </w:r>
      <w:r>
        <w:rPr>
          <w:rFonts w:ascii="Times New Roman" w:hAnsi="Times New Roman" w:eastAsia="方正仿宋简体"/>
          <w:color w:val="000000" w:themeColor="text1"/>
          <w:kern w:val="2"/>
          <w:sz w:val="32"/>
          <w:szCs w:val="32"/>
          <w:vertAlign w:val="subscript"/>
          <w14:textFill>
            <w14:solidFill>
              <w14:schemeClr w14:val="tx1"/>
            </w14:solidFill>
          </w14:textFill>
        </w:rPr>
        <w:t>3</w:t>
      </w:r>
      <w:r>
        <w:rPr>
          <w:rFonts w:ascii="Times New Roman" w:hAnsi="Times New Roman" w:eastAsia="方正仿宋简体"/>
          <w:color w:val="000000" w:themeColor="text1"/>
          <w:kern w:val="2"/>
          <w:sz w:val="32"/>
          <w:szCs w:val="32"/>
          <w14:textFill>
            <w14:solidFill>
              <w14:schemeClr w14:val="tx1"/>
            </w14:solidFill>
          </w14:textFill>
        </w:rPr>
        <w:t>浓度稳中有降，空气质量优良天数比例达到66.6%，重污染天数比率不超过1.2%。</w:t>
      </w:r>
    </w:p>
    <w:p>
      <w:pPr>
        <w:pStyle w:val="57"/>
        <w:spacing w:line="560" w:lineRule="exact"/>
        <w:ind w:firstLine="640"/>
        <w:rPr>
          <w:rFonts w:ascii="Times New Roman" w:hAnsi="Times New Roman" w:eastAsia="方正仿宋简体"/>
          <w:color w:val="000000" w:themeColor="text1"/>
          <w:kern w:val="2"/>
          <w:sz w:val="32"/>
          <w:szCs w:val="32"/>
          <w14:textFill>
            <w14:solidFill>
              <w14:schemeClr w14:val="tx1"/>
            </w14:solidFill>
          </w14:textFill>
        </w:rPr>
      </w:pPr>
      <w:r>
        <w:rPr>
          <w:rFonts w:ascii="Times New Roman" w:hAnsi="Times New Roman" w:eastAsia="方正仿宋简体"/>
          <w:color w:val="000000" w:themeColor="text1"/>
          <w:kern w:val="2"/>
          <w:sz w:val="32"/>
          <w:szCs w:val="32"/>
          <w14:textFill>
            <w14:solidFill>
              <w14:schemeClr w14:val="tx1"/>
            </w14:solidFill>
          </w14:textFill>
        </w:rPr>
        <w:t>（1）淘汰落后产能，严格执行质量、环保、能耗、安全等法规标准，按照《产业结构调整指导目录》，对“淘汰类”落后生产工艺装备和落后产品全部淘汰出清。聚焦“高耗能、高污染、高排放、高风险”等行业，分类组织实施转移、压减、整合、关停任务。严格项目准入，高耗能、高排放项目建设做到产能减量、能耗减量、煤炭减量、碳排放减量和污染物排放减量“五个减量”替代。</w:t>
      </w:r>
    </w:p>
    <w:p>
      <w:pPr>
        <w:pStyle w:val="57"/>
        <w:spacing w:line="560" w:lineRule="exact"/>
        <w:ind w:firstLine="640"/>
        <w:rPr>
          <w:rFonts w:ascii="Times New Roman" w:hAnsi="Times New Roman" w:eastAsia="方正仿宋简体"/>
          <w:color w:val="000000" w:themeColor="text1"/>
          <w:kern w:val="2"/>
          <w:sz w:val="32"/>
          <w:szCs w:val="32"/>
          <w14:textFill>
            <w14:solidFill>
              <w14:schemeClr w14:val="tx1"/>
            </w14:solidFill>
          </w14:textFill>
        </w:rPr>
      </w:pPr>
      <w:bookmarkStart w:id="144" w:name="_Toc24155"/>
      <w:r>
        <w:rPr>
          <w:rFonts w:ascii="Times New Roman" w:hAnsi="Times New Roman" w:eastAsia="方正仿宋简体"/>
          <w:color w:val="000000" w:themeColor="text1"/>
          <w:kern w:val="2"/>
          <w:sz w:val="32"/>
          <w:szCs w:val="32"/>
          <w14:textFill>
            <w14:solidFill>
              <w14:schemeClr w14:val="tx1"/>
            </w14:solidFill>
          </w14:textFill>
        </w:rPr>
        <w:t>（2）</w:t>
      </w:r>
      <w:bookmarkEnd w:id="144"/>
      <w:r>
        <w:rPr>
          <w:rFonts w:ascii="Times New Roman" w:hAnsi="Times New Roman" w:eastAsia="方正仿宋简体"/>
          <w:color w:val="000000" w:themeColor="text1"/>
          <w:kern w:val="2"/>
          <w:sz w:val="32"/>
          <w:szCs w:val="32"/>
          <w14:textFill>
            <w14:solidFill>
              <w14:schemeClr w14:val="tx1"/>
            </w14:solidFill>
          </w14:textFill>
        </w:rPr>
        <w:t>持续压减煤炭消费总量，到2025年，完成省下达我市的煤炭消费压减任务目标；加快能源低碳转型，大力发展可再生能源，到2025年，可再生能源装机规模达到450万千瓦左右，可再生能源利用量相当于182万吨标准煤；优化货物运输方式，优化交通运输结构，大力发展铁港联运，基本形成大宗货物和集装箱中长距离运输以铁路、水路或管道为主的格局。新、改、扩建项目涉及大宗物料运输的，应采用清洁运输方式。支持砂石、煤炭、电解铝、电力、焦化、水泥等年运输量150万吨以上的大型工矿企业以及大型物流园区新（改、扩）建铁路专用线。未建成铁路专用线的，优先采用公铁联运、新能源车辆以及封闭式皮带廊道等方式运输。</w:t>
      </w:r>
    </w:p>
    <w:p>
      <w:pPr>
        <w:pStyle w:val="57"/>
        <w:spacing w:line="560" w:lineRule="exact"/>
        <w:ind w:firstLine="640"/>
        <w:rPr>
          <w:rFonts w:ascii="Times New Roman" w:hAnsi="Times New Roman" w:eastAsia="方正仿宋简体"/>
          <w:color w:val="000000" w:themeColor="text1"/>
          <w:kern w:val="2"/>
          <w:sz w:val="32"/>
          <w:szCs w:val="32"/>
          <w14:textFill>
            <w14:solidFill>
              <w14:schemeClr w14:val="tx1"/>
            </w14:solidFill>
          </w14:textFill>
        </w:rPr>
      </w:pPr>
      <w:r>
        <w:rPr>
          <w:rFonts w:ascii="Times New Roman" w:hAnsi="Times New Roman" w:eastAsia="方正仿宋简体"/>
          <w:color w:val="000000" w:themeColor="text1"/>
          <w:kern w:val="2"/>
          <w:sz w:val="32"/>
          <w:szCs w:val="32"/>
          <w14:textFill>
            <w14:solidFill>
              <w14:schemeClr w14:val="tx1"/>
            </w14:solidFill>
          </w14:textFill>
        </w:rPr>
        <w:t>实施VOCs全过程污染防治，开展VOCs原辅材料替代调查潜力评估，实施低VOCs含量工业涂料、油墨、胶粘剂、清洗剂等原辅料使用替代，新、改、扩建工业涂装、包装印刷等含VOCs原辅材料使用的项目，原则上应使用低（无）VOCs含量产品。2025年年底前，至少建立30个替代试点项目，全市溶剂型工业涂料、溶剂型油墨使用比例分别降低20、15个百分点，溶剂型胶粘剂使用量下降20%。</w:t>
      </w:r>
    </w:p>
    <w:p>
      <w:pPr>
        <w:pStyle w:val="57"/>
        <w:spacing w:line="560" w:lineRule="exact"/>
        <w:ind w:firstLine="640"/>
        <w:rPr>
          <w:rFonts w:ascii="Times New Roman" w:hAnsi="Times New Roman" w:eastAsia="方正仿宋简体"/>
          <w:color w:val="000000" w:themeColor="text1"/>
          <w:kern w:val="2"/>
          <w:sz w:val="32"/>
          <w:szCs w:val="32"/>
          <w14:textFill>
            <w14:solidFill>
              <w14:schemeClr w14:val="tx1"/>
            </w14:solidFill>
          </w14:textFill>
        </w:rPr>
      </w:pPr>
      <w:r>
        <w:rPr>
          <w:rFonts w:ascii="Times New Roman" w:hAnsi="Times New Roman" w:eastAsia="方正仿宋简体"/>
          <w:color w:val="000000" w:themeColor="text1"/>
          <w:kern w:val="2"/>
          <w:sz w:val="32"/>
          <w:szCs w:val="32"/>
          <w14:textFill>
            <w14:solidFill>
              <w14:schemeClr w14:val="tx1"/>
            </w14:solidFill>
          </w14:textFill>
        </w:rPr>
        <w:t>强化工业园NOx深度治理，严格治理设施运行监管，燃煤机组、锅炉企业污染排放稳定达到超低排放要求。2023年年底前，完成焦化、水泥行业超低排放改造。实施玻璃、陶瓷、铸造、有色等行业污染深度治理，确保各类大气污染物稳定达标排放。重点涉气排放企业取消烟气旁路，确因安全生产等原因无法取消的，应安装有效监控装置纳入监管。引导重点企业在秋冬季安排停产检维修，减少污染物排放。</w:t>
      </w:r>
    </w:p>
    <w:p>
      <w:pPr>
        <w:pStyle w:val="57"/>
        <w:spacing w:line="560" w:lineRule="exact"/>
        <w:ind w:firstLine="640"/>
        <w:rPr>
          <w:rFonts w:ascii="Times New Roman" w:hAnsi="Times New Roman" w:eastAsia="方正仿宋简体"/>
          <w:color w:val="000000" w:themeColor="text1"/>
          <w:kern w:val="2"/>
          <w:sz w:val="32"/>
          <w:szCs w:val="32"/>
          <w14:textFill>
            <w14:solidFill>
              <w14:schemeClr w14:val="tx1"/>
            </w14:solidFill>
          </w14:textFill>
        </w:rPr>
      </w:pPr>
      <w:r>
        <w:rPr>
          <w:rFonts w:ascii="Times New Roman" w:hAnsi="Times New Roman" w:eastAsia="方正仿宋简体"/>
          <w:color w:val="000000" w:themeColor="text1"/>
          <w:kern w:val="2"/>
          <w:sz w:val="32"/>
          <w:szCs w:val="32"/>
          <w14:textFill>
            <w14:solidFill>
              <w14:schemeClr w14:val="tx1"/>
            </w14:solidFill>
          </w14:textFill>
        </w:rPr>
        <w:t>推动移动源污染管控，加强国六重型柴油货车环保达标监管。落实重型柴油车污染物排放限值要求，自2021年7月1日，严禁生产、进口、销售和注册登记不符合国家第六阶段排放标准要求的重型柴油车。国家要求和鼓励淘汰的重型柴油车，公安机关交通管理部门不予办理迁入手续。开展新车源头管控，按照全省部署，加大机动车、发动机新生产、销售及注册登记环节监督检查力度。严格扬尘污染管控，加强施工扬尘精细化管控，建立并动态更新施工工地清单。全面推行绿色施工，将扬尘污染防治费用纳入工程造价，各类施工工地严格落实扬尘污染防治措施，其中建筑施工工地严格按照导则执行。规模以上建筑施工工地安装在线监测和视频监控设施，并接入当地监管平台。加强执法监管，对问题严重的依法依规实施联合惩戒。</w:t>
      </w:r>
    </w:p>
    <w:p>
      <w:pPr>
        <w:pStyle w:val="57"/>
        <w:spacing w:line="560" w:lineRule="exact"/>
        <w:ind w:firstLine="640"/>
        <w:rPr>
          <w:rFonts w:ascii="Times New Roman" w:hAnsi="Times New Roman" w:eastAsia="方正仿宋简体"/>
          <w:color w:val="000000" w:themeColor="text1"/>
          <w:kern w:val="2"/>
          <w:sz w:val="32"/>
          <w:szCs w:val="32"/>
          <w14:textFill>
            <w14:solidFill>
              <w14:schemeClr w14:val="tx1"/>
            </w14:solidFill>
          </w14:textFill>
        </w:rPr>
      </w:pPr>
      <w:r>
        <w:rPr>
          <w:rFonts w:ascii="Times New Roman" w:hAnsi="Times New Roman" w:eastAsia="方正仿宋简体"/>
          <w:color w:val="000000" w:themeColor="text1"/>
          <w:kern w:val="2"/>
          <w:sz w:val="32"/>
          <w:szCs w:val="32"/>
          <w14:textFill>
            <w14:solidFill>
              <w14:schemeClr w14:val="tx1"/>
            </w14:solidFill>
          </w14:textFill>
        </w:rPr>
        <w:t>强化秸秆禁烧管控，各级政府要将秸秆禁烧纳入年度工作重点，着重压实镇街（街道）禁烧责任；积极探索创新巡查方式和手段，加强重点时段、重点区域的执法巡查，从严查处行政区域内“第一把火”。</w:t>
      </w:r>
    </w:p>
    <w:p>
      <w:pPr>
        <w:pStyle w:val="57"/>
        <w:spacing w:line="560" w:lineRule="exact"/>
        <w:ind w:firstLine="640"/>
        <w:rPr>
          <w:rFonts w:ascii="Times New Roman" w:hAnsi="Times New Roman" w:eastAsia="方正仿宋简体"/>
          <w:sz w:val="32"/>
          <w:szCs w:val="32"/>
        </w:rPr>
      </w:pPr>
      <w:r>
        <w:rPr>
          <w:rFonts w:ascii="Times New Roman" w:hAnsi="Times New Roman" w:eastAsia="方正仿宋简体"/>
          <w:color w:val="000000" w:themeColor="text1"/>
          <w:kern w:val="2"/>
          <w:sz w:val="32"/>
          <w:szCs w:val="32"/>
          <w14:textFill>
            <w14:solidFill>
              <w14:schemeClr w14:val="tx1"/>
            </w14:solidFill>
          </w14:textFill>
        </w:rPr>
        <w:t>完善环境监管信息化系统，加快空气质量监测、污染源在线监控、移动源定位管控等信息数据集成应用，逐步提高污染溯源、问题诊断、应急响应能力。全市化工园区、大型石化企业VOCs组分具备自动监测能力，实现联网运行。提高空气质量趋势预测分析能力，重点加强臭氧预测预报能力建设。开展PM</w:t>
      </w:r>
      <w:r>
        <w:rPr>
          <w:rFonts w:ascii="Times New Roman" w:hAnsi="Times New Roman" w:eastAsia="方正仿宋简体"/>
          <w:color w:val="000000" w:themeColor="text1"/>
          <w:kern w:val="2"/>
          <w:sz w:val="32"/>
          <w:szCs w:val="32"/>
          <w:vertAlign w:val="subscript"/>
          <w14:textFill>
            <w14:solidFill>
              <w14:schemeClr w14:val="tx1"/>
            </w14:solidFill>
          </w14:textFill>
        </w:rPr>
        <w:t>2.5</w:t>
      </w:r>
      <w:r>
        <w:rPr>
          <w:rFonts w:ascii="Times New Roman" w:hAnsi="Times New Roman" w:eastAsia="方正仿宋简体"/>
          <w:color w:val="000000" w:themeColor="text1"/>
          <w:kern w:val="2"/>
          <w:sz w:val="32"/>
          <w:szCs w:val="32"/>
          <w14:textFill>
            <w14:solidFill>
              <w14:schemeClr w14:val="tx1"/>
            </w14:solidFill>
          </w14:textFill>
        </w:rPr>
        <w:t>和O</w:t>
      </w:r>
      <w:r>
        <w:rPr>
          <w:rFonts w:ascii="Times New Roman" w:hAnsi="Times New Roman" w:eastAsia="方正仿宋简体"/>
          <w:color w:val="000000" w:themeColor="text1"/>
          <w:kern w:val="2"/>
          <w:sz w:val="32"/>
          <w:szCs w:val="32"/>
          <w:vertAlign w:val="subscript"/>
          <w14:textFill>
            <w14:solidFill>
              <w14:schemeClr w14:val="tx1"/>
            </w14:solidFill>
          </w14:textFill>
        </w:rPr>
        <w:t>3</w:t>
      </w:r>
      <w:r>
        <w:rPr>
          <w:rFonts w:ascii="Times New Roman" w:hAnsi="Times New Roman" w:eastAsia="方正仿宋简体"/>
          <w:color w:val="000000" w:themeColor="text1"/>
          <w:kern w:val="2"/>
          <w:sz w:val="32"/>
          <w:szCs w:val="32"/>
          <w14:textFill>
            <w14:solidFill>
              <w14:schemeClr w14:val="tx1"/>
            </w14:solidFill>
          </w14:textFill>
        </w:rPr>
        <w:t>污染协同防控“一市一策”跟踪研究，加强环保专职队伍建设，提高科技支撑大气污染治理水平。积极参与大气污染联防联控和重污染应急联动，创新监管方式，加强遥感卫星、红外、无人机等新技术新设备运用，大力推进非现场执法。</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145" w:name="_Toc138888967"/>
      <w:r>
        <w:rPr>
          <w:rFonts w:ascii="Times New Roman" w:hAnsi="Times New Roman" w:eastAsia="方正仿宋简体"/>
          <w:color w:val="000000" w:themeColor="text1"/>
          <w14:textFill>
            <w14:solidFill>
              <w14:schemeClr w14:val="tx1"/>
            </w14:solidFill>
          </w14:textFill>
        </w:rPr>
        <w:t>2.3.3水环境质量</w:t>
      </w:r>
      <w:bookmarkEnd w:id="139"/>
      <w:bookmarkEnd w:id="140"/>
      <w:bookmarkEnd w:id="141"/>
      <w:bookmarkEnd w:id="142"/>
      <w:bookmarkEnd w:id="143"/>
      <w:bookmarkEnd w:id="145"/>
    </w:p>
    <w:p>
      <w:pPr>
        <w:pStyle w:val="5"/>
        <w:spacing w:before="0" w:after="0" w:line="560" w:lineRule="exact"/>
        <w:jc w:val="left"/>
        <w:rPr>
          <w:rFonts w:ascii="Times New Roman" w:hAnsi="Times New Roman" w:eastAsia="方正仿宋简体"/>
          <w:b w:val="0"/>
          <w:bCs w:val="0"/>
          <w:color w:val="000000" w:themeColor="text1"/>
          <w:sz w:val="32"/>
          <w:szCs w:val="32"/>
          <w14:textFill>
            <w14:solidFill>
              <w14:schemeClr w14:val="tx1"/>
            </w14:solidFill>
          </w14:textFill>
        </w:rPr>
      </w:pPr>
      <w:r>
        <w:rPr>
          <w:rFonts w:ascii="Times New Roman" w:hAnsi="Times New Roman" w:eastAsia="方正仿宋简体"/>
          <w:b w:val="0"/>
          <w:bCs w:val="0"/>
          <w:color w:val="000000" w:themeColor="text1"/>
          <w:sz w:val="32"/>
          <w:szCs w:val="32"/>
          <w14:textFill>
            <w14:solidFill>
              <w14:schemeClr w14:val="tx1"/>
            </w14:solidFill>
          </w14:textFill>
        </w:rPr>
        <w:t>2.3.3.1地表水环境质量</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根据济宁市生态环境局下发的《2020年度济宁市环境质量状况》，根据通报数据，济宁太白湖新区地表水国控断面共有3个，分别为老运河（西石佛断面）、</w:t>
      </w:r>
      <w:r>
        <w:rPr>
          <w:rFonts w:ascii="Times New Roman" w:hAnsi="Times New Roman"/>
          <w:color w:val="000000" w:themeColor="text1"/>
          <w:sz w:val="32"/>
          <w:szCs w:val="32"/>
          <w14:textFill>
            <w14:solidFill>
              <w14:schemeClr w14:val="tx1"/>
            </w14:solidFill>
          </w14:textFill>
        </w:rPr>
        <w:t>洸</w:t>
      </w:r>
      <w:r>
        <w:rPr>
          <w:rFonts w:ascii="Times New Roman" w:hAnsi="Times New Roman" w:eastAsia="方正仿宋简体"/>
          <w:color w:val="000000" w:themeColor="text1"/>
          <w:sz w:val="32"/>
          <w:szCs w:val="32"/>
          <w14:textFill>
            <w14:solidFill>
              <w14:schemeClr w14:val="tx1"/>
            </w14:solidFill>
          </w14:textFill>
        </w:rPr>
        <w:t>府河（东石佛断面）、泗河（尹沟断面）。2020年济宁太白湖新区国控断面水质均分别达到《地表水环境质量标准》（GB3838-2002）中</w:t>
      </w:r>
      <w:r>
        <w:rPr>
          <w:rFonts w:hint="eastAsia" w:ascii="宋体" w:hAnsi="宋体" w:cs="宋体"/>
          <w:color w:val="000000" w:themeColor="text1"/>
          <w:sz w:val="32"/>
          <w:szCs w:val="32"/>
          <w14:textFill>
            <w14:solidFill>
              <w14:schemeClr w14:val="tx1"/>
            </w14:solidFill>
          </w14:textFill>
        </w:rPr>
        <w:t>Ⅲ</w:t>
      </w:r>
      <w:r>
        <w:rPr>
          <w:rFonts w:ascii="Times New Roman" w:hAnsi="Times New Roman" w:eastAsia="方正仿宋简体"/>
          <w:color w:val="000000" w:themeColor="text1"/>
          <w:sz w:val="32"/>
          <w:szCs w:val="32"/>
          <w14:textFill>
            <w14:solidFill>
              <w14:schemeClr w14:val="tx1"/>
            </w14:solidFill>
          </w14:textFill>
        </w:rPr>
        <w:t>类和</w:t>
      </w:r>
      <w:r>
        <w:rPr>
          <w:rFonts w:hint="eastAsia" w:ascii="宋体" w:hAnsi="宋体" w:cs="宋体"/>
          <w:color w:val="000000" w:themeColor="text1"/>
          <w:sz w:val="32"/>
          <w:szCs w:val="32"/>
          <w14:textFill>
            <w14:solidFill>
              <w14:schemeClr w14:val="tx1"/>
            </w14:solidFill>
          </w14:textFill>
        </w:rPr>
        <w:t>Ⅱ</w:t>
      </w:r>
      <w:r>
        <w:rPr>
          <w:rFonts w:ascii="Times New Roman" w:hAnsi="Times New Roman" w:eastAsia="方正仿宋简体"/>
          <w:color w:val="000000" w:themeColor="text1"/>
          <w:sz w:val="32"/>
          <w:szCs w:val="32"/>
          <w14:textFill>
            <w14:solidFill>
              <w14:schemeClr w14:val="tx1"/>
            </w14:solidFill>
          </w14:textFill>
        </w:rPr>
        <w:t>类水体。控制断面水质情况见表2.3-3。</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pStyle w:val="8"/>
        <w:spacing w:line="560" w:lineRule="exact"/>
        <w:ind w:firstLine="0" w:firstLineChars="0"/>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表2.3-3 济宁太白湖新区主要地表河流国控断面水质情况</w:t>
      </w:r>
    </w:p>
    <w:tbl>
      <w:tblPr>
        <w:tblStyle w:val="27"/>
        <w:tblW w:w="85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185"/>
        <w:gridCol w:w="794"/>
        <w:gridCol w:w="1304"/>
        <w:gridCol w:w="1111"/>
        <w:gridCol w:w="851"/>
        <w:gridCol w:w="1134"/>
        <w:gridCol w:w="813"/>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8" w:type="dxa"/>
            <w:shd w:val="clear" w:color="auto" w:fill="auto"/>
            <w:vAlign w:val="center"/>
          </w:tcPr>
          <w:p>
            <w:pPr>
              <w:widowControl/>
              <w:snapToGrid w:val="0"/>
              <w:jc w:val="center"/>
              <w:rPr>
                <w:rFonts w:ascii="Times New Roman" w:hAnsi="Times New Roman" w:eastAsia="方正仿宋简体"/>
                <w:b/>
                <w:bCs/>
                <w:color w:val="000000" w:themeColor="text1"/>
                <w:kern w:val="0"/>
                <w:sz w:val="28"/>
                <w:szCs w:val="28"/>
                <w14:textFill>
                  <w14:solidFill>
                    <w14:schemeClr w14:val="tx1"/>
                  </w14:solidFill>
                </w14:textFill>
              </w:rPr>
            </w:pPr>
            <w:r>
              <w:rPr>
                <w:rFonts w:ascii="Times New Roman" w:hAnsi="Times New Roman" w:eastAsia="方正仿宋简体"/>
                <w:b/>
                <w:bCs/>
                <w:color w:val="000000" w:themeColor="text1"/>
                <w:kern w:val="0"/>
                <w:sz w:val="28"/>
                <w:szCs w:val="28"/>
                <w14:textFill>
                  <w14:solidFill>
                    <w14:schemeClr w14:val="tx1"/>
                  </w14:solidFill>
                </w14:textFill>
              </w:rPr>
              <w:t>序号</w:t>
            </w:r>
          </w:p>
        </w:tc>
        <w:tc>
          <w:tcPr>
            <w:tcW w:w="1185"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河流</w:t>
            </w:r>
          </w:p>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名称</w:t>
            </w:r>
          </w:p>
        </w:tc>
        <w:tc>
          <w:tcPr>
            <w:tcW w:w="794"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所属流域</w:t>
            </w:r>
          </w:p>
        </w:tc>
        <w:tc>
          <w:tcPr>
            <w:tcW w:w="1304"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断面</w:t>
            </w:r>
          </w:p>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名称</w:t>
            </w:r>
          </w:p>
        </w:tc>
        <w:tc>
          <w:tcPr>
            <w:tcW w:w="1111"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年份</w:t>
            </w:r>
          </w:p>
        </w:tc>
        <w:tc>
          <w:tcPr>
            <w:tcW w:w="851"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控制级别</w:t>
            </w:r>
          </w:p>
        </w:tc>
        <w:tc>
          <w:tcPr>
            <w:tcW w:w="1134"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水质类别（年平均）</w:t>
            </w:r>
          </w:p>
        </w:tc>
        <w:tc>
          <w:tcPr>
            <w:tcW w:w="813" w:type="dxa"/>
            <w:shd w:val="clear" w:color="auto" w:fill="auto"/>
            <w:vAlign w:val="center"/>
          </w:tcPr>
          <w:p>
            <w:pPr>
              <w:widowControl/>
              <w:snapToGrid w:val="0"/>
              <w:jc w:val="center"/>
              <w:rPr>
                <w:rFonts w:ascii="Times New Roman" w:hAnsi="Times New Roman" w:eastAsia="方正仿宋简体"/>
                <w:b/>
                <w:bCs/>
                <w:color w:val="000000" w:themeColor="text1"/>
                <w:kern w:val="0"/>
                <w:sz w:val="28"/>
                <w:szCs w:val="28"/>
                <w14:textFill>
                  <w14:solidFill>
                    <w14:schemeClr w14:val="tx1"/>
                  </w14:solidFill>
                </w14:textFill>
              </w:rPr>
            </w:pPr>
            <w:r>
              <w:rPr>
                <w:rFonts w:ascii="Times New Roman" w:hAnsi="Times New Roman" w:eastAsia="方正仿宋简体"/>
                <w:b/>
                <w:bCs/>
                <w:color w:val="000000" w:themeColor="text1"/>
                <w:kern w:val="0"/>
                <w:sz w:val="28"/>
                <w:szCs w:val="28"/>
                <w14:textFill>
                  <w14:solidFill>
                    <w14:schemeClr w14:val="tx1"/>
                  </w14:solidFill>
                </w14:textFill>
              </w:rPr>
              <w:t>功能区划类别</w:t>
            </w:r>
          </w:p>
        </w:tc>
        <w:tc>
          <w:tcPr>
            <w:tcW w:w="794" w:type="dxa"/>
            <w:shd w:val="clear" w:color="auto" w:fill="auto"/>
            <w:vAlign w:val="center"/>
          </w:tcPr>
          <w:p>
            <w:pPr>
              <w:widowControl/>
              <w:snapToGrid w:val="0"/>
              <w:jc w:val="center"/>
              <w:rPr>
                <w:rFonts w:ascii="Times New Roman" w:hAnsi="Times New Roman" w:eastAsia="方正仿宋简体"/>
                <w:b/>
                <w:bCs/>
                <w:color w:val="000000" w:themeColor="text1"/>
                <w:kern w:val="0"/>
                <w:sz w:val="28"/>
                <w:szCs w:val="28"/>
                <w14:textFill>
                  <w14:solidFill>
                    <w14:schemeClr w14:val="tx1"/>
                  </w14:solidFill>
                </w14:textFill>
              </w:rPr>
            </w:pPr>
            <w:r>
              <w:rPr>
                <w:rFonts w:ascii="Times New Roman" w:hAnsi="Times New Roman" w:eastAsia="方正仿宋简体"/>
                <w:b/>
                <w:bCs/>
                <w:color w:val="000000" w:themeColor="text1"/>
                <w:kern w:val="0"/>
                <w:sz w:val="28"/>
                <w:szCs w:val="28"/>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8"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w:t>
            </w:r>
          </w:p>
        </w:tc>
        <w:tc>
          <w:tcPr>
            <w:tcW w:w="1185"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老运河</w:t>
            </w:r>
          </w:p>
        </w:tc>
        <w:tc>
          <w:tcPr>
            <w:tcW w:w="794"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淮河流域</w:t>
            </w:r>
          </w:p>
        </w:tc>
        <w:tc>
          <w:tcPr>
            <w:tcW w:w="1304"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西石佛断面</w:t>
            </w:r>
          </w:p>
        </w:tc>
        <w:tc>
          <w:tcPr>
            <w:tcW w:w="1111" w:type="dxa"/>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2020年</w:t>
            </w:r>
          </w:p>
        </w:tc>
        <w:tc>
          <w:tcPr>
            <w:tcW w:w="851"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国控</w:t>
            </w:r>
          </w:p>
        </w:tc>
        <w:tc>
          <w:tcPr>
            <w:tcW w:w="1134" w:type="dxa"/>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Ⅲ</w:t>
            </w:r>
            <w:r>
              <w:rPr>
                <w:rFonts w:ascii="Times New Roman" w:hAnsi="Times New Roman" w:eastAsia="方正仿宋简体"/>
                <w:color w:val="000000" w:themeColor="text1"/>
                <w:kern w:val="0"/>
                <w:sz w:val="28"/>
                <w:szCs w:val="28"/>
                <w14:textFill>
                  <w14:solidFill>
                    <w14:schemeClr w14:val="tx1"/>
                  </w14:solidFill>
                </w14:textFill>
              </w:rPr>
              <w:t>类</w:t>
            </w:r>
          </w:p>
        </w:tc>
        <w:tc>
          <w:tcPr>
            <w:tcW w:w="813"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Ⅲ</w:t>
            </w:r>
            <w:r>
              <w:rPr>
                <w:rFonts w:ascii="Times New Roman" w:hAnsi="Times New Roman" w:eastAsia="方正仿宋简体"/>
                <w:color w:val="000000" w:themeColor="text1"/>
                <w:kern w:val="0"/>
                <w:sz w:val="28"/>
                <w:szCs w:val="28"/>
                <w14:textFill>
                  <w14:solidFill>
                    <w14:schemeClr w14:val="tx1"/>
                  </w14:solidFill>
                </w14:textFill>
              </w:rPr>
              <w:t>类</w:t>
            </w:r>
          </w:p>
        </w:tc>
        <w:tc>
          <w:tcPr>
            <w:tcW w:w="794" w:type="dxa"/>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8"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w:t>
            </w:r>
          </w:p>
        </w:tc>
        <w:tc>
          <w:tcPr>
            <w:tcW w:w="1185"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color w:val="000000" w:themeColor="text1"/>
                <w:kern w:val="0"/>
                <w:sz w:val="28"/>
                <w:szCs w:val="28"/>
                <w14:textFill>
                  <w14:solidFill>
                    <w14:schemeClr w14:val="tx1"/>
                  </w14:solidFill>
                </w14:textFill>
              </w:rPr>
              <w:t>洸</w:t>
            </w:r>
            <w:r>
              <w:rPr>
                <w:rFonts w:ascii="Times New Roman" w:hAnsi="Times New Roman" w:eastAsia="方正仿宋简体"/>
                <w:color w:val="000000" w:themeColor="text1"/>
                <w:kern w:val="0"/>
                <w:sz w:val="28"/>
                <w:szCs w:val="28"/>
                <w14:textFill>
                  <w14:solidFill>
                    <w14:schemeClr w14:val="tx1"/>
                  </w14:solidFill>
                </w14:textFill>
              </w:rPr>
              <w:t>府河</w:t>
            </w:r>
          </w:p>
        </w:tc>
        <w:tc>
          <w:tcPr>
            <w:tcW w:w="794" w:type="dxa"/>
            <w:shd w:val="clear" w:color="auto" w:fill="auto"/>
            <w:noWrap/>
          </w:tcPr>
          <w:p>
            <w:pPr>
              <w:snapToGrid w:val="0"/>
              <w:rPr>
                <w:rFonts w:ascii="Times New Roman" w:hAnsi="Times New Roman" w:eastAsia="方正仿宋简体"/>
                <w:sz w:val="28"/>
                <w:szCs w:val="28"/>
              </w:rPr>
            </w:pPr>
            <w:r>
              <w:rPr>
                <w:rFonts w:ascii="Times New Roman" w:hAnsi="Times New Roman" w:eastAsia="方正仿宋简体"/>
                <w:color w:val="000000" w:themeColor="text1"/>
                <w:kern w:val="0"/>
                <w:sz w:val="28"/>
                <w:szCs w:val="28"/>
                <w14:textFill>
                  <w14:solidFill>
                    <w14:schemeClr w14:val="tx1"/>
                  </w14:solidFill>
                </w14:textFill>
              </w:rPr>
              <w:t>淮河流域</w:t>
            </w:r>
          </w:p>
        </w:tc>
        <w:tc>
          <w:tcPr>
            <w:tcW w:w="1304"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东石佛断面</w:t>
            </w:r>
          </w:p>
        </w:tc>
        <w:tc>
          <w:tcPr>
            <w:tcW w:w="1111" w:type="dxa"/>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2020年</w:t>
            </w:r>
          </w:p>
        </w:tc>
        <w:tc>
          <w:tcPr>
            <w:tcW w:w="851"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国控</w:t>
            </w:r>
          </w:p>
        </w:tc>
        <w:tc>
          <w:tcPr>
            <w:tcW w:w="1134" w:type="dxa"/>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Ⅲ</w:t>
            </w:r>
            <w:r>
              <w:rPr>
                <w:rFonts w:ascii="Times New Roman" w:hAnsi="Times New Roman" w:eastAsia="方正仿宋简体"/>
                <w:color w:val="000000" w:themeColor="text1"/>
                <w:kern w:val="0"/>
                <w:sz w:val="28"/>
                <w:szCs w:val="28"/>
                <w14:textFill>
                  <w14:solidFill>
                    <w14:schemeClr w14:val="tx1"/>
                  </w14:solidFill>
                </w14:textFill>
              </w:rPr>
              <w:t>类</w:t>
            </w:r>
          </w:p>
        </w:tc>
        <w:tc>
          <w:tcPr>
            <w:tcW w:w="813"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Ⅲ</w:t>
            </w:r>
            <w:r>
              <w:rPr>
                <w:rFonts w:ascii="Times New Roman" w:hAnsi="Times New Roman" w:eastAsia="方正仿宋简体"/>
                <w:color w:val="000000" w:themeColor="text1"/>
                <w:kern w:val="0"/>
                <w:sz w:val="28"/>
                <w:szCs w:val="28"/>
                <w14:textFill>
                  <w14:solidFill>
                    <w14:schemeClr w14:val="tx1"/>
                  </w14:solidFill>
                </w14:textFill>
              </w:rPr>
              <w:t>类</w:t>
            </w:r>
          </w:p>
        </w:tc>
        <w:tc>
          <w:tcPr>
            <w:tcW w:w="794" w:type="dxa"/>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8"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3</w:t>
            </w:r>
          </w:p>
        </w:tc>
        <w:tc>
          <w:tcPr>
            <w:tcW w:w="1185"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泗河</w:t>
            </w:r>
          </w:p>
        </w:tc>
        <w:tc>
          <w:tcPr>
            <w:tcW w:w="794" w:type="dxa"/>
            <w:shd w:val="clear" w:color="auto" w:fill="auto"/>
            <w:noWrap/>
          </w:tcPr>
          <w:p>
            <w:pPr>
              <w:snapToGrid w:val="0"/>
              <w:rPr>
                <w:rFonts w:ascii="Times New Roman" w:hAnsi="Times New Roman" w:eastAsia="方正仿宋简体"/>
                <w:sz w:val="28"/>
                <w:szCs w:val="28"/>
              </w:rPr>
            </w:pPr>
            <w:r>
              <w:rPr>
                <w:rFonts w:ascii="Times New Roman" w:hAnsi="Times New Roman" w:eastAsia="方正仿宋简体"/>
                <w:color w:val="000000" w:themeColor="text1"/>
                <w:kern w:val="0"/>
                <w:sz w:val="28"/>
                <w:szCs w:val="28"/>
                <w14:textFill>
                  <w14:solidFill>
                    <w14:schemeClr w14:val="tx1"/>
                  </w14:solidFill>
                </w14:textFill>
              </w:rPr>
              <w:t>淮河流域</w:t>
            </w:r>
          </w:p>
        </w:tc>
        <w:tc>
          <w:tcPr>
            <w:tcW w:w="1304"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尹沟</w:t>
            </w:r>
          </w:p>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断面</w:t>
            </w:r>
          </w:p>
        </w:tc>
        <w:tc>
          <w:tcPr>
            <w:tcW w:w="1111" w:type="dxa"/>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2020年</w:t>
            </w:r>
          </w:p>
        </w:tc>
        <w:tc>
          <w:tcPr>
            <w:tcW w:w="851"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省控</w:t>
            </w:r>
          </w:p>
        </w:tc>
        <w:tc>
          <w:tcPr>
            <w:tcW w:w="1134" w:type="dxa"/>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Ⅲ</w:t>
            </w:r>
            <w:r>
              <w:rPr>
                <w:rFonts w:ascii="Times New Roman" w:hAnsi="Times New Roman" w:eastAsia="方正仿宋简体"/>
                <w:color w:val="000000" w:themeColor="text1"/>
                <w:kern w:val="0"/>
                <w:sz w:val="28"/>
                <w:szCs w:val="28"/>
                <w14:textFill>
                  <w14:solidFill>
                    <w14:schemeClr w14:val="tx1"/>
                  </w14:solidFill>
                </w14:textFill>
              </w:rPr>
              <w:t>类</w:t>
            </w:r>
          </w:p>
        </w:tc>
        <w:tc>
          <w:tcPr>
            <w:tcW w:w="813"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Ⅲ</w:t>
            </w:r>
            <w:r>
              <w:rPr>
                <w:rFonts w:ascii="Times New Roman" w:hAnsi="Times New Roman" w:eastAsia="方正仿宋简体"/>
                <w:color w:val="000000" w:themeColor="text1"/>
                <w:kern w:val="0"/>
                <w:sz w:val="28"/>
                <w:szCs w:val="28"/>
                <w14:textFill>
                  <w14:solidFill>
                    <w14:schemeClr w14:val="tx1"/>
                  </w14:solidFill>
                </w14:textFill>
              </w:rPr>
              <w:t>类</w:t>
            </w:r>
          </w:p>
        </w:tc>
        <w:tc>
          <w:tcPr>
            <w:tcW w:w="794" w:type="dxa"/>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达标</w:t>
            </w:r>
          </w:p>
        </w:tc>
      </w:tr>
    </w:tbl>
    <w:p>
      <w:pPr>
        <w:pStyle w:val="5"/>
        <w:spacing w:before="0" w:after="0" w:line="560" w:lineRule="exact"/>
        <w:jc w:val="left"/>
        <w:rPr>
          <w:rFonts w:ascii="Times New Roman" w:hAnsi="Times New Roman" w:eastAsia="方正仿宋简体"/>
          <w:b w:val="0"/>
          <w:bCs w:val="0"/>
          <w:color w:val="000000" w:themeColor="text1"/>
          <w:sz w:val="32"/>
          <w:szCs w:val="32"/>
          <w14:textFill>
            <w14:solidFill>
              <w14:schemeClr w14:val="tx1"/>
            </w14:solidFill>
          </w14:textFill>
        </w:rPr>
      </w:pPr>
      <w:r>
        <w:rPr>
          <w:rFonts w:ascii="Times New Roman" w:hAnsi="Times New Roman" w:eastAsia="方正仿宋简体"/>
          <w:b w:val="0"/>
          <w:bCs w:val="0"/>
          <w:color w:val="000000" w:themeColor="text1"/>
          <w:sz w:val="32"/>
          <w:szCs w:val="32"/>
          <w14:textFill>
            <w14:solidFill>
              <w14:schemeClr w14:val="tx1"/>
            </w14:solidFill>
          </w14:textFill>
        </w:rPr>
        <w:t>2.3.3.2集中式饮用水源环境质量</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根据济宁市生态环境局下发的《2020年度济宁市环境质量状况》，根据通报数据，济宁太白湖新区现有城镇地下水集中饮用水源1个，为滨河大道。</w:t>
      </w:r>
      <w:bookmarkStart w:id="146" w:name="_Toc119835897"/>
      <w:bookmarkStart w:id="147" w:name="_Toc119843220"/>
      <w:bookmarkStart w:id="148" w:name="_Toc119849215"/>
      <w:bookmarkStart w:id="149" w:name="_Toc119856675"/>
      <w:bookmarkStart w:id="150" w:name="_Toc119856287"/>
      <w:r>
        <w:rPr>
          <w:rFonts w:ascii="Times New Roman" w:hAnsi="Times New Roman" w:eastAsia="方正仿宋简体"/>
          <w:color w:val="000000" w:themeColor="text1"/>
          <w:sz w:val="32"/>
          <w:szCs w:val="32"/>
          <w14:textFill>
            <w14:solidFill>
              <w14:schemeClr w14:val="tx1"/>
            </w14:solidFill>
          </w14:textFill>
        </w:rPr>
        <w:t>2020年点位例行监测结果表明：济宁市城市集中式地下水饮用水源地监测指标全部达到《地下水质量标准》（GB/T14848-2017）中的</w:t>
      </w:r>
      <w:r>
        <w:rPr>
          <w:rFonts w:hint="eastAsia" w:ascii="宋体" w:hAnsi="宋体" w:cs="宋体"/>
          <w:color w:val="000000" w:themeColor="text1"/>
          <w:sz w:val="32"/>
          <w:szCs w:val="32"/>
          <w14:textFill>
            <w14:solidFill>
              <w14:schemeClr w14:val="tx1"/>
            </w14:solidFill>
          </w14:textFill>
        </w:rPr>
        <w:t>Ⅲ</w:t>
      </w:r>
      <w:r>
        <w:rPr>
          <w:rFonts w:ascii="Times New Roman" w:hAnsi="Times New Roman" w:eastAsia="方正仿宋简体"/>
          <w:color w:val="000000" w:themeColor="text1"/>
          <w:sz w:val="32"/>
          <w:szCs w:val="32"/>
          <w14:textFill>
            <w14:solidFill>
              <w14:schemeClr w14:val="tx1"/>
            </w14:solidFill>
          </w14:textFill>
        </w:rPr>
        <w:t>类水质标准要求，达标率为100%。</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2020年进行的水质全分析监测结果表明：《地下水质量标准》（GB/T14848-2017）表1的39项中，除浑浊度、pH值、总硬度、溶解性总固体、硫酸盐、氯化物、耗氧量(以CODmn法以O</w:t>
      </w:r>
      <w:r>
        <w:rPr>
          <w:rFonts w:ascii="Times New Roman" w:hAnsi="Times New Roman" w:eastAsia="方正仿宋简体"/>
          <w:color w:val="000000" w:themeColor="text1"/>
          <w:sz w:val="32"/>
          <w:szCs w:val="32"/>
          <w:vertAlign w:val="subscript"/>
          <w14:textFill>
            <w14:solidFill>
              <w14:schemeClr w14:val="tx1"/>
            </w14:solidFill>
          </w14:textFill>
        </w:rPr>
        <w:t>2</w:t>
      </w:r>
      <w:r>
        <w:rPr>
          <w:rFonts w:ascii="Times New Roman" w:hAnsi="Times New Roman" w:eastAsia="方正仿宋简体"/>
          <w:color w:val="000000" w:themeColor="text1"/>
          <w:sz w:val="32"/>
          <w:szCs w:val="32"/>
          <w14:textFill>
            <w14:solidFill>
              <w14:schemeClr w14:val="tx1"/>
            </w14:solidFill>
          </w14:textFill>
        </w:rPr>
        <w:t>计)、钠、菌落总数、硝酸盐、氟化物、碘化物、总α放射性、总β放射性有检出外，其余项目均为未检出； 54个项目中除项目钡外，其余项目全部未检出。地下水水源地全分析的水质结果全部达到《地下水质量标准》（GB/T14848-2017）中的</w:t>
      </w:r>
      <w:r>
        <w:rPr>
          <w:rFonts w:hint="eastAsia" w:ascii="宋体" w:hAnsi="宋体" w:cs="宋体"/>
          <w:color w:val="000000" w:themeColor="text1"/>
          <w:sz w:val="32"/>
          <w:szCs w:val="32"/>
          <w14:textFill>
            <w14:solidFill>
              <w14:schemeClr w14:val="tx1"/>
            </w14:solidFill>
          </w14:textFill>
        </w:rPr>
        <w:t>Ⅲ</w:t>
      </w:r>
      <w:r>
        <w:rPr>
          <w:rFonts w:ascii="Times New Roman" w:hAnsi="Times New Roman" w:eastAsia="方正仿宋简体"/>
          <w:color w:val="000000" w:themeColor="text1"/>
          <w:sz w:val="32"/>
          <w:szCs w:val="32"/>
          <w14:textFill>
            <w14:solidFill>
              <w14:schemeClr w14:val="tx1"/>
            </w14:solidFill>
          </w14:textFill>
        </w:rPr>
        <w:t>类标准，水质达标率为100%。</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151" w:name="_Toc138888968"/>
      <w:r>
        <w:rPr>
          <w:rFonts w:ascii="Times New Roman" w:hAnsi="Times New Roman" w:eastAsia="方正仿宋简体"/>
          <w:color w:val="000000" w:themeColor="text1"/>
          <w14:textFill>
            <w14:solidFill>
              <w14:schemeClr w14:val="tx1"/>
            </w14:solidFill>
          </w14:textFill>
        </w:rPr>
        <w:t>2.3.4声环境质量</w:t>
      </w:r>
      <w:bookmarkEnd w:id="146"/>
      <w:bookmarkEnd w:id="147"/>
      <w:bookmarkEnd w:id="148"/>
      <w:bookmarkEnd w:id="149"/>
      <w:bookmarkEnd w:id="150"/>
      <w:bookmarkEnd w:id="151"/>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济宁市生态环境局下发的《2020年度济宁市环境质量状况》，根据通报数据，济宁太白湖新区城区噪声监测点位3个，其中交通噪声监测点位2个，功能区噪声监测点位1个，区域噪声监测点位1个。城区昼间区域环境噪声平均等效声级值为</w:t>
      </w:r>
      <w:r>
        <w:rPr>
          <w:rFonts w:ascii="Times New Roman" w:hAnsi="Times New Roman" w:eastAsia="方正仿宋简体"/>
          <w:sz w:val="32"/>
          <w:szCs w:val="32"/>
        </w:rPr>
        <w:t>50.2</w:t>
      </w:r>
      <w:r>
        <w:rPr>
          <w:rFonts w:ascii="Times New Roman" w:hAnsi="Times New Roman" w:eastAsia="方正仿宋简体"/>
          <w:color w:val="000000" w:themeColor="text1"/>
          <w:sz w:val="32"/>
          <w:szCs w:val="32"/>
          <w14:textFill>
            <w14:solidFill>
              <w14:schemeClr w14:val="tx1"/>
            </w14:solidFill>
          </w14:textFill>
        </w:rPr>
        <w:t>分贝，城市区域声环境质量水平等级为二级，声环境质量较好；道路交通噪声平均等效声级67.2分贝，昼间道路交通噪声等级强度为一级，声环境评价为“好”。</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152" w:name="_Toc119849216"/>
      <w:bookmarkStart w:id="153" w:name="_Toc119843221"/>
      <w:bookmarkStart w:id="154" w:name="_Toc119856288"/>
      <w:bookmarkStart w:id="155" w:name="_Toc119856676"/>
      <w:bookmarkStart w:id="156" w:name="_Toc138888969"/>
      <w:bookmarkStart w:id="157" w:name="_Toc119835898"/>
      <w:r>
        <w:rPr>
          <w:rFonts w:ascii="Times New Roman" w:hAnsi="Times New Roman" w:eastAsia="方正仿宋简体"/>
          <w:color w:val="000000" w:themeColor="text1"/>
          <w14:textFill>
            <w14:solidFill>
              <w14:schemeClr w14:val="tx1"/>
            </w14:solidFill>
          </w14:textFill>
        </w:rPr>
        <w:t>2.3.5土壤环境质量</w:t>
      </w:r>
      <w:bookmarkEnd w:id="152"/>
      <w:bookmarkEnd w:id="153"/>
      <w:bookmarkEnd w:id="154"/>
      <w:bookmarkEnd w:id="155"/>
      <w:bookmarkEnd w:id="156"/>
      <w:bookmarkEnd w:id="157"/>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济宁市生态环境局下发的《2020年度济宁市环境质量状况》，根据通报数据，在全市监测的15个点位中，镉浓度范围在0.08～0.35mg/kg之间；汞浓度范围在0.022～1.02mg/kg之间；砷浓度范围在6.36～11.7mg/kg之间；铜浓度范围在14～61mg/kg之间；铅浓度范围在20～36mg/kg之间；铬浓度范围在52～80mg/kg之间；锌浓度范围在57～130mg/kg之间；镍浓度范围在22～41mg/kg之间；六六六总量和滴滴涕总量均为未检出；苯并（a）芘浓度范围在0.0022～0.0116mg/kg之间。</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选择8种重金属污染物和3种有机污染物对土壤环境污染状况进行评价，结果表明：全市15个土壤风险点位全部达标。</w:t>
      </w:r>
    </w:p>
    <w:p>
      <w:pPr>
        <w:pStyle w:val="3"/>
      </w:pPr>
      <w:bookmarkStart w:id="158" w:name="_Toc119843222"/>
      <w:bookmarkStart w:id="159" w:name="_Toc119849217"/>
      <w:bookmarkStart w:id="160" w:name="_Toc119856289"/>
      <w:bookmarkStart w:id="161" w:name="_Toc119856677"/>
      <w:bookmarkStart w:id="162" w:name="_Toc119835899"/>
      <w:bookmarkStart w:id="163" w:name="_Toc138888970"/>
      <w:r>
        <w:t>2.4畜禽养殖污染防治现状</w:t>
      </w:r>
      <w:bookmarkEnd w:id="158"/>
      <w:bookmarkEnd w:id="159"/>
      <w:bookmarkEnd w:id="160"/>
      <w:bookmarkEnd w:id="161"/>
      <w:bookmarkEnd w:id="162"/>
      <w:bookmarkEnd w:id="163"/>
    </w:p>
    <w:p>
      <w:pPr>
        <w:pStyle w:val="4"/>
        <w:spacing w:before="0" w:after="0" w:line="560" w:lineRule="exact"/>
        <w:jc w:val="left"/>
        <w:rPr>
          <w:rFonts w:ascii="Times New Roman" w:hAnsi="Times New Roman" w:eastAsia="方正仿宋简体"/>
          <w:b w:val="0"/>
          <w:color w:val="000000" w:themeColor="text1"/>
          <w14:textFill>
            <w14:solidFill>
              <w14:schemeClr w14:val="tx1"/>
            </w14:solidFill>
          </w14:textFill>
        </w:rPr>
      </w:pPr>
      <w:bookmarkStart w:id="164" w:name="_Toc138888971"/>
      <w:bookmarkStart w:id="165" w:name="_Toc119835900"/>
      <w:bookmarkStart w:id="166" w:name="_Toc119849218"/>
      <w:bookmarkStart w:id="167" w:name="_Toc119856678"/>
      <w:bookmarkStart w:id="168" w:name="_Toc119843223"/>
      <w:bookmarkStart w:id="169" w:name="_Toc119856290"/>
      <w:r>
        <w:rPr>
          <w:rFonts w:ascii="Times New Roman" w:hAnsi="Times New Roman" w:eastAsia="方正仿宋简体"/>
          <w:color w:val="000000" w:themeColor="text1"/>
          <w14:textFill>
            <w14:solidFill>
              <w14:schemeClr w14:val="tx1"/>
            </w14:solidFill>
          </w14:textFill>
        </w:rPr>
        <w:t>2.4.1畜禽养殖现状</w:t>
      </w:r>
      <w:bookmarkEnd w:id="164"/>
      <w:bookmarkEnd w:id="165"/>
      <w:bookmarkEnd w:id="166"/>
      <w:bookmarkEnd w:id="167"/>
      <w:bookmarkEnd w:id="168"/>
      <w:bookmarkEnd w:id="169"/>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根据2020年济宁太白湖新区国民经济和社会发展统计情况，及全国第二次污染源普查结果 可知，济宁太白湖新区畜禽养殖畜种主要有生猪、牛、羊、禽类等。2020年济宁太白湖新区畜禽养殖生猪存栏量</w:t>
      </w:r>
      <w:r>
        <w:rPr>
          <w:rFonts w:ascii="Times New Roman" w:hAnsi="Times New Roman" w:eastAsia="方正仿宋简体"/>
          <w:color w:val="000000"/>
          <w:sz w:val="32"/>
          <w:szCs w:val="32"/>
        </w:rPr>
        <w:t>15813</w:t>
      </w:r>
      <w:r>
        <w:rPr>
          <w:rFonts w:ascii="Times New Roman" w:hAnsi="Times New Roman" w:eastAsia="方正仿宋简体"/>
          <w:color w:val="000000" w:themeColor="text1"/>
          <w:sz w:val="32"/>
          <w:szCs w:val="32"/>
          <w14:textFill>
            <w14:solidFill>
              <w14:schemeClr w14:val="tx1"/>
            </w14:solidFill>
          </w14:textFill>
        </w:rPr>
        <w:t>头，出栏量</w:t>
      </w:r>
      <w:r>
        <w:rPr>
          <w:rFonts w:ascii="Times New Roman" w:hAnsi="Times New Roman" w:eastAsia="方正仿宋简体"/>
          <w:color w:val="000000"/>
          <w:sz w:val="32"/>
          <w:szCs w:val="32"/>
        </w:rPr>
        <w:t>44016</w:t>
      </w:r>
      <w:r>
        <w:rPr>
          <w:rFonts w:ascii="Times New Roman" w:hAnsi="Times New Roman" w:eastAsia="方正仿宋简体"/>
          <w:color w:val="000000" w:themeColor="text1"/>
          <w:sz w:val="32"/>
          <w:szCs w:val="32"/>
          <w14:textFill>
            <w14:solidFill>
              <w14:schemeClr w14:val="tx1"/>
            </w14:solidFill>
          </w14:textFill>
        </w:rPr>
        <w:t>头；牛存栏量3150头，出栏量810头；羊存栏量807只，出栏量807只；禽类存栏6.63万羽，出栏量31.23万羽。济宁太白湖新区各镇街畜禽养殖情况统计表2.4-1。</w:t>
      </w:r>
    </w:p>
    <w:p>
      <w:pPr>
        <w:pStyle w:val="8"/>
        <w:spacing w:line="560" w:lineRule="exact"/>
        <w:ind w:firstLine="0" w:firstLineChars="0"/>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表2.4-1 济宁太白湖新区各镇街畜禽养殖情况统计表</w:t>
      </w:r>
    </w:p>
    <w:tbl>
      <w:tblPr>
        <w:tblStyle w:val="27"/>
        <w:tblW w:w="5639" w:type="pct"/>
        <w:jc w:val="center"/>
        <w:tblLayout w:type="autofit"/>
        <w:tblCellMar>
          <w:top w:w="0" w:type="dxa"/>
          <w:left w:w="108" w:type="dxa"/>
          <w:bottom w:w="0" w:type="dxa"/>
          <w:right w:w="108" w:type="dxa"/>
        </w:tblCellMar>
      </w:tblPr>
      <w:tblGrid>
        <w:gridCol w:w="779"/>
        <w:gridCol w:w="1056"/>
        <w:gridCol w:w="1060"/>
        <w:gridCol w:w="1060"/>
        <w:gridCol w:w="1060"/>
        <w:gridCol w:w="1060"/>
        <w:gridCol w:w="1060"/>
        <w:gridCol w:w="1060"/>
        <w:gridCol w:w="1060"/>
        <w:gridCol w:w="1060"/>
      </w:tblGrid>
      <w:tr>
        <w:tblPrEx>
          <w:tblCellMar>
            <w:top w:w="0" w:type="dxa"/>
            <w:left w:w="108" w:type="dxa"/>
            <w:bottom w:w="0" w:type="dxa"/>
            <w:right w:w="108" w:type="dxa"/>
          </w:tblCellMar>
        </w:tblPrEx>
        <w:trPr>
          <w:trHeight w:val="285" w:hRule="atLeast"/>
          <w:jc w:val="center"/>
        </w:trPr>
        <w:tc>
          <w:tcPr>
            <w:tcW w:w="274" w:type="pct"/>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序号</w:t>
            </w:r>
          </w:p>
        </w:tc>
        <w:tc>
          <w:tcPr>
            <w:tcW w:w="523" w:type="pct"/>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镇街</w:t>
            </w:r>
          </w:p>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名称</w:t>
            </w:r>
          </w:p>
        </w:tc>
        <w:tc>
          <w:tcPr>
            <w:tcW w:w="1051" w:type="pct"/>
            <w:gridSpan w:val="2"/>
            <w:tcBorders>
              <w:top w:val="single" w:color="auto" w:sz="8" w:space="0"/>
              <w:left w:val="nil"/>
              <w:bottom w:val="single" w:color="auto" w:sz="8" w:space="0"/>
              <w:right w:val="single" w:color="000000" w:sz="8" w:space="0"/>
            </w:tcBorders>
            <w:shd w:val="clear" w:color="auto" w:fill="auto"/>
            <w:noWrap/>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生猪（头）</w:t>
            </w:r>
          </w:p>
        </w:tc>
        <w:tc>
          <w:tcPr>
            <w:tcW w:w="1051" w:type="pct"/>
            <w:gridSpan w:val="2"/>
            <w:tcBorders>
              <w:top w:val="single" w:color="auto" w:sz="8" w:space="0"/>
              <w:left w:val="nil"/>
              <w:bottom w:val="single" w:color="auto" w:sz="8" w:space="0"/>
              <w:right w:val="single" w:color="000000" w:sz="8" w:space="0"/>
            </w:tcBorders>
            <w:shd w:val="clear" w:color="auto" w:fill="auto"/>
            <w:noWrap/>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牛（头）</w:t>
            </w:r>
          </w:p>
        </w:tc>
        <w:tc>
          <w:tcPr>
            <w:tcW w:w="1051" w:type="pct"/>
            <w:gridSpan w:val="2"/>
            <w:tcBorders>
              <w:top w:val="single" w:color="auto" w:sz="8" w:space="0"/>
              <w:left w:val="nil"/>
              <w:bottom w:val="single" w:color="auto" w:sz="8" w:space="0"/>
              <w:right w:val="single" w:color="000000" w:sz="8" w:space="0"/>
            </w:tcBorders>
            <w:shd w:val="clear" w:color="auto" w:fill="auto"/>
            <w:noWrap/>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羊（只）</w:t>
            </w:r>
          </w:p>
        </w:tc>
        <w:tc>
          <w:tcPr>
            <w:tcW w:w="1051" w:type="pct"/>
            <w:gridSpan w:val="2"/>
            <w:tcBorders>
              <w:top w:val="single" w:color="auto" w:sz="8" w:space="0"/>
              <w:left w:val="nil"/>
              <w:bottom w:val="single" w:color="auto" w:sz="8" w:space="0"/>
              <w:right w:val="single" w:color="000000" w:sz="8" w:space="0"/>
            </w:tcBorders>
            <w:shd w:val="clear" w:color="auto" w:fill="auto"/>
            <w:noWrap/>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家禽（羽）</w:t>
            </w:r>
          </w:p>
        </w:tc>
      </w:tr>
      <w:tr>
        <w:tblPrEx>
          <w:tblCellMar>
            <w:top w:w="0" w:type="dxa"/>
            <w:left w:w="108" w:type="dxa"/>
            <w:bottom w:w="0" w:type="dxa"/>
            <w:right w:w="108" w:type="dxa"/>
          </w:tblCellMar>
        </w:tblPrEx>
        <w:trPr>
          <w:trHeight w:val="285" w:hRule="atLeast"/>
          <w:jc w:val="center"/>
        </w:trPr>
        <w:tc>
          <w:tcPr>
            <w:tcW w:w="274" w:type="pct"/>
            <w:vMerge w:val="continue"/>
            <w:tcBorders>
              <w:top w:val="single" w:color="auto" w:sz="8" w:space="0"/>
              <w:left w:val="single" w:color="auto" w:sz="8" w:space="0"/>
              <w:bottom w:val="single" w:color="000000" w:sz="8" w:space="0"/>
              <w:right w:val="single" w:color="auto" w:sz="8" w:space="0"/>
            </w:tcBorders>
            <w:vAlign w:val="center"/>
          </w:tcPr>
          <w:p>
            <w:pPr>
              <w:widowControl/>
              <w:snapToGrid w:val="0"/>
              <w:jc w:val="left"/>
              <w:rPr>
                <w:rFonts w:ascii="Times New Roman" w:hAnsi="Times New Roman" w:eastAsia="方正仿宋简体"/>
                <w:b/>
                <w:bCs/>
                <w:color w:val="000000"/>
                <w:kern w:val="0"/>
                <w:sz w:val="28"/>
                <w:szCs w:val="28"/>
              </w:rPr>
            </w:pPr>
          </w:p>
        </w:tc>
        <w:tc>
          <w:tcPr>
            <w:tcW w:w="523" w:type="pct"/>
            <w:vMerge w:val="continue"/>
            <w:tcBorders>
              <w:top w:val="single" w:color="auto" w:sz="8" w:space="0"/>
              <w:left w:val="single" w:color="auto" w:sz="8" w:space="0"/>
              <w:bottom w:val="single" w:color="000000" w:sz="8" w:space="0"/>
              <w:right w:val="single" w:color="auto" w:sz="8" w:space="0"/>
            </w:tcBorders>
            <w:vAlign w:val="center"/>
          </w:tcPr>
          <w:p>
            <w:pPr>
              <w:widowControl/>
              <w:snapToGrid w:val="0"/>
              <w:jc w:val="left"/>
              <w:rPr>
                <w:rFonts w:ascii="Times New Roman" w:hAnsi="Times New Roman" w:eastAsia="方正仿宋简体"/>
                <w:b/>
                <w:bCs/>
                <w:color w:val="000000"/>
                <w:kern w:val="0"/>
                <w:sz w:val="28"/>
                <w:szCs w:val="28"/>
              </w:rPr>
            </w:pPr>
          </w:p>
        </w:tc>
        <w:tc>
          <w:tcPr>
            <w:tcW w:w="525" w:type="pct"/>
            <w:tcBorders>
              <w:top w:val="nil"/>
              <w:left w:val="nil"/>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存栏量</w:t>
            </w:r>
          </w:p>
        </w:tc>
        <w:tc>
          <w:tcPr>
            <w:tcW w:w="525" w:type="pct"/>
            <w:tcBorders>
              <w:top w:val="nil"/>
              <w:left w:val="nil"/>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出栏量</w:t>
            </w:r>
          </w:p>
        </w:tc>
        <w:tc>
          <w:tcPr>
            <w:tcW w:w="525" w:type="pct"/>
            <w:tcBorders>
              <w:top w:val="nil"/>
              <w:left w:val="nil"/>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存栏量</w:t>
            </w:r>
          </w:p>
        </w:tc>
        <w:tc>
          <w:tcPr>
            <w:tcW w:w="525" w:type="pct"/>
            <w:tcBorders>
              <w:top w:val="nil"/>
              <w:left w:val="nil"/>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出栏量</w:t>
            </w:r>
          </w:p>
        </w:tc>
        <w:tc>
          <w:tcPr>
            <w:tcW w:w="525" w:type="pct"/>
            <w:tcBorders>
              <w:top w:val="nil"/>
              <w:left w:val="nil"/>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存栏量</w:t>
            </w:r>
          </w:p>
        </w:tc>
        <w:tc>
          <w:tcPr>
            <w:tcW w:w="525" w:type="pct"/>
            <w:tcBorders>
              <w:top w:val="nil"/>
              <w:left w:val="nil"/>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出栏量</w:t>
            </w:r>
          </w:p>
        </w:tc>
        <w:tc>
          <w:tcPr>
            <w:tcW w:w="525" w:type="pct"/>
            <w:tcBorders>
              <w:top w:val="nil"/>
              <w:left w:val="nil"/>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存栏量</w:t>
            </w:r>
          </w:p>
        </w:tc>
        <w:tc>
          <w:tcPr>
            <w:tcW w:w="525" w:type="pct"/>
            <w:tcBorders>
              <w:top w:val="nil"/>
              <w:left w:val="nil"/>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出栏量</w:t>
            </w:r>
          </w:p>
        </w:tc>
      </w:tr>
      <w:tr>
        <w:tblPrEx>
          <w:tblCellMar>
            <w:top w:w="0" w:type="dxa"/>
            <w:left w:w="108" w:type="dxa"/>
            <w:bottom w:w="0" w:type="dxa"/>
            <w:right w:w="108" w:type="dxa"/>
          </w:tblCellMar>
        </w:tblPrEx>
        <w:trPr>
          <w:trHeight w:val="285" w:hRule="atLeast"/>
          <w:jc w:val="center"/>
        </w:trPr>
        <w:tc>
          <w:tcPr>
            <w:tcW w:w="274" w:type="pct"/>
            <w:tcBorders>
              <w:top w:val="nil"/>
              <w:left w:val="single" w:color="auto" w:sz="8" w:space="0"/>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w:t>
            </w:r>
          </w:p>
        </w:tc>
        <w:tc>
          <w:tcPr>
            <w:tcW w:w="523" w:type="pct"/>
            <w:tcBorders>
              <w:top w:val="nil"/>
              <w:left w:val="nil"/>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许庄</w:t>
            </w:r>
          </w:p>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街道</w:t>
            </w:r>
          </w:p>
        </w:tc>
        <w:tc>
          <w:tcPr>
            <w:tcW w:w="525" w:type="pct"/>
            <w:tcBorders>
              <w:top w:val="nil"/>
              <w:left w:val="nil"/>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525" w:type="pct"/>
            <w:tcBorders>
              <w:top w:val="nil"/>
              <w:left w:val="nil"/>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525" w:type="pct"/>
            <w:tcBorders>
              <w:top w:val="nil"/>
              <w:left w:val="nil"/>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525" w:type="pct"/>
            <w:tcBorders>
              <w:top w:val="nil"/>
              <w:left w:val="nil"/>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525" w:type="pct"/>
            <w:tcBorders>
              <w:top w:val="nil"/>
              <w:left w:val="nil"/>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525" w:type="pct"/>
            <w:tcBorders>
              <w:top w:val="nil"/>
              <w:left w:val="nil"/>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525" w:type="pct"/>
            <w:tcBorders>
              <w:top w:val="nil"/>
              <w:left w:val="nil"/>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525" w:type="pct"/>
            <w:tcBorders>
              <w:top w:val="nil"/>
              <w:left w:val="nil"/>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r>
      <w:tr>
        <w:tblPrEx>
          <w:tblCellMar>
            <w:top w:w="0" w:type="dxa"/>
            <w:left w:w="108" w:type="dxa"/>
            <w:bottom w:w="0" w:type="dxa"/>
            <w:right w:w="108" w:type="dxa"/>
          </w:tblCellMar>
        </w:tblPrEx>
        <w:trPr>
          <w:trHeight w:val="285" w:hRule="atLeast"/>
          <w:jc w:val="center"/>
        </w:trPr>
        <w:tc>
          <w:tcPr>
            <w:tcW w:w="274" w:type="pct"/>
            <w:tcBorders>
              <w:top w:val="nil"/>
              <w:left w:val="single" w:color="auto" w:sz="8" w:space="0"/>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w:t>
            </w:r>
          </w:p>
        </w:tc>
        <w:tc>
          <w:tcPr>
            <w:tcW w:w="523" w:type="pct"/>
            <w:tcBorders>
              <w:top w:val="nil"/>
              <w:left w:val="nil"/>
              <w:bottom w:val="single" w:color="auto" w:sz="8" w:space="0"/>
              <w:right w:val="single" w:color="auto" w:sz="8" w:space="0"/>
            </w:tcBorders>
            <w:shd w:val="clear" w:color="auto" w:fill="auto"/>
            <w:noWrap/>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石桥镇</w:t>
            </w:r>
          </w:p>
        </w:tc>
        <w:tc>
          <w:tcPr>
            <w:tcW w:w="525" w:type="pct"/>
            <w:tcBorders>
              <w:top w:val="nil"/>
              <w:left w:val="nil"/>
              <w:bottom w:val="single" w:color="auto" w:sz="8" w:space="0"/>
              <w:right w:val="single" w:color="auto" w:sz="8" w:space="0"/>
            </w:tcBorders>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15813</w:t>
            </w:r>
          </w:p>
        </w:tc>
        <w:tc>
          <w:tcPr>
            <w:tcW w:w="525" w:type="pct"/>
            <w:tcBorders>
              <w:top w:val="nil"/>
              <w:left w:val="nil"/>
              <w:bottom w:val="single" w:color="auto" w:sz="8" w:space="0"/>
              <w:right w:val="single" w:color="auto" w:sz="8" w:space="0"/>
            </w:tcBorders>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44016</w:t>
            </w:r>
          </w:p>
        </w:tc>
        <w:tc>
          <w:tcPr>
            <w:tcW w:w="525" w:type="pct"/>
            <w:tcBorders>
              <w:top w:val="nil"/>
              <w:left w:val="nil"/>
              <w:bottom w:val="single" w:color="auto" w:sz="8" w:space="0"/>
              <w:right w:val="single" w:color="auto" w:sz="8" w:space="0"/>
            </w:tcBorders>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3150</w:t>
            </w:r>
          </w:p>
        </w:tc>
        <w:tc>
          <w:tcPr>
            <w:tcW w:w="525" w:type="pct"/>
            <w:tcBorders>
              <w:top w:val="nil"/>
              <w:left w:val="nil"/>
              <w:bottom w:val="single" w:color="auto" w:sz="8" w:space="0"/>
              <w:right w:val="single" w:color="auto" w:sz="8" w:space="0"/>
            </w:tcBorders>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810</w:t>
            </w:r>
          </w:p>
        </w:tc>
        <w:tc>
          <w:tcPr>
            <w:tcW w:w="525" w:type="pct"/>
            <w:tcBorders>
              <w:top w:val="nil"/>
              <w:left w:val="nil"/>
              <w:bottom w:val="single" w:color="auto" w:sz="8" w:space="0"/>
              <w:right w:val="single" w:color="auto" w:sz="8" w:space="0"/>
            </w:tcBorders>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807</w:t>
            </w:r>
          </w:p>
        </w:tc>
        <w:tc>
          <w:tcPr>
            <w:tcW w:w="525" w:type="pct"/>
            <w:tcBorders>
              <w:top w:val="nil"/>
              <w:left w:val="nil"/>
              <w:bottom w:val="single" w:color="auto" w:sz="8" w:space="0"/>
              <w:right w:val="single" w:color="auto" w:sz="8" w:space="0"/>
            </w:tcBorders>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807</w:t>
            </w:r>
          </w:p>
        </w:tc>
        <w:tc>
          <w:tcPr>
            <w:tcW w:w="525" w:type="pct"/>
            <w:tcBorders>
              <w:top w:val="nil"/>
              <w:left w:val="nil"/>
              <w:bottom w:val="single" w:color="auto" w:sz="8" w:space="0"/>
              <w:right w:val="single" w:color="auto" w:sz="8" w:space="0"/>
            </w:tcBorders>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66300</w:t>
            </w:r>
          </w:p>
        </w:tc>
        <w:tc>
          <w:tcPr>
            <w:tcW w:w="525" w:type="pct"/>
            <w:tcBorders>
              <w:top w:val="nil"/>
              <w:left w:val="nil"/>
              <w:bottom w:val="single" w:color="auto" w:sz="8" w:space="0"/>
              <w:right w:val="single" w:color="auto" w:sz="8" w:space="0"/>
            </w:tcBorders>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312300</w:t>
            </w:r>
          </w:p>
        </w:tc>
      </w:tr>
      <w:tr>
        <w:tblPrEx>
          <w:tblCellMar>
            <w:top w:w="0" w:type="dxa"/>
            <w:left w:w="108" w:type="dxa"/>
            <w:bottom w:w="0" w:type="dxa"/>
            <w:right w:w="108" w:type="dxa"/>
          </w:tblCellMar>
        </w:tblPrEx>
        <w:trPr>
          <w:trHeight w:val="285" w:hRule="atLeast"/>
          <w:jc w:val="center"/>
        </w:trPr>
        <w:tc>
          <w:tcPr>
            <w:tcW w:w="797" w:type="pct"/>
            <w:gridSpan w:val="2"/>
            <w:tcBorders>
              <w:top w:val="single" w:color="auto" w:sz="8" w:space="0"/>
              <w:left w:val="single" w:color="auto" w:sz="8" w:space="0"/>
              <w:bottom w:val="single" w:color="auto" w:sz="8" w:space="0"/>
              <w:right w:val="single" w:color="000000" w:sz="8" w:space="0"/>
            </w:tcBorders>
            <w:shd w:val="clear" w:color="auto" w:fill="auto"/>
            <w:noWrap/>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合计</w:t>
            </w:r>
          </w:p>
        </w:tc>
        <w:tc>
          <w:tcPr>
            <w:tcW w:w="525" w:type="pct"/>
            <w:tcBorders>
              <w:top w:val="nil"/>
              <w:left w:val="nil"/>
              <w:bottom w:val="single" w:color="auto" w:sz="8" w:space="0"/>
              <w:right w:val="single" w:color="auto" w:sz="8" w:space="0"/>
            </w:tcBorders>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15813</w:t>
            </w:r>
          </w:p>
        </w:tc>
        <w:tc>
          <w:tcPr>
            <w:tcW w:w="525" w:type="pct"/>
            <w:tcBorders>
              <w:top w:val="nil"/>
              <w:left w:val="nil"/>
              <w:bottom w:val="single" w:color="auto" w:sz="8" w:space="0"/>
              <w:right w:val="single" w:color="auto" w:sz="8" w:space="0"/>
            </w:tcBorders>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44016</w:t>
            </w:r>
          </w:p>
        </w:tc>
        <w:tc>
          <w:tcPr>
            <w:tcW w:w="525" w:type="pct"/>
            <w:tcBorders>
              <w:top w:val="nil"/>
              <w:left w:val="nil"/>
              <w:bottom w:val="single" w:color="auto" w:sz="8" w:space="0"/>
              <w:right w:val="single" w:color="auto" w:sz="8" w:space="0"/>
            </w:tcBorders>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3150</w:t>
            </w:r>
          </w:p>
        </w:tc>
        <w:tc>
          <w:tcPr>
            <w:tcW w:w="525" w:type="pct"/>
            <w:tcBorders>
              <w:top w:val="nil"/>
              <w:left w:val="nil"/>
              <w:bottom w:val="single" w:color="auto" w:sz="8" w:space="0"/>
              <w:right w:val="single" w:color="auto" w:sz="8" w:space="0"/>
            </w:tcBorders>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810</w:t>
            </w:r>
          </w:p>
        </w:tc>
        <w:tc>
          <w:tcPr>
            <w:tcW w:w="525" w:type="pct"/>
            <w:tcBorders>
              <w:top w:val="nil"/>
              <w:left w:val="nil"/>
              <w:bottom w:val="single" w:color="auto" w:sz="8" w:space="0"/>
              <w:right w:val="single" w:color="auto" w:sz="8" w:space="0"/>
            </w:tcBorders>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807</w:t>
            </w:r>
          </w:p>
        </w:tc>
        <w:tc>
          <w:tcPr>
            <w:tcW w:w="525" w:type="pct"/>
            <w:tcBorders>
              <w:top w:val="nil"/>
              <w:left w:val="nil"/>
              <w:bottom w:val="single" w:color="auto" w:sz="8" w:space="0"/>
              <w:right w:val="single" w:color="auto" w:sz="8" w:space="0"/>
            </w:tcBorders>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807</w:t>
            </w:r>
          </w:p>
        </w:tc>
        <w:tc>
          <w:tcPr>
            <w:tcW w:w="525" w:type="pct"/>
            <w:tcBorders>
              <w:top w:val="nil"/>
              <w:left w:val="nil"/>
              <w:bottom w:val="single" w:color="auto" w:sz="8" w:space="0"/>
              <w:right w:val="single" w:color="auto" w:sz="8" w:space="0"/>
            </w:tcBorders>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66300</w:t>
            </w:r>
          </w:p>
        </w:tc>
        <w:tc>
          <w:tcPr>
            <w:tcW w:w="525" w:type="pct"/>
            <w:tcBorders>
              <w:top w:val="nil"/>
              <w:left w:val="nil"/>
              <w:bottom w:val="single" w:color="auto" w:sz="8" w:space="0"/>
              <w:right w:val="single" w:color="auto" w:sz="8" w:space="0"/>
            </w:tcBorders>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312300</w:t>
            </w:r>
          </w:p>
        </w:tc>
      </w:tr>
    </w:tbl>
    <w:p>
      <w:pPr>
        <w:pStyle w:val="5"/>
        <w:spacing w:before="0" w:after="0" w:line="360" w:lineRule="auto"/>
        <w:jc w:val="center"/>
        <w:rPr>
          <w:rFonts w:ascii="Times New Roman" w:hAnsi="Times New Roman" w:eastAsia="方正仿宋简体"/>
          <w:b w:val="0"/>
          <w:bCs w:val="0"/>
          <w:color w:val="000000" w:themeColor="text1"/>
          <w:sz w:val="32"/>
          <w:szCs w:val="32"/>
          <w14:textFill>
            <w14:solidFill>
              <w14:schemeClr w14:val="tx1"/>
            </w14:solidFill>
          </w14:textFill>
        </w:rPr>
      </w:pPr>
      <w:r>
        <w:rPr>
          <w:rFonts w:ascii="Times New Roman" w:hAnsi="Times New Roman" w:eastAsia="方正仿宋简体"/>
          <w:sz w:val="32"/>
          <w:szCs w:val="32"/>
        </w:rPr>
        <w:drawing>
          <wp:inline distT="0" distB="0" distL="0" distR="0">
            <wp:extent cx="4572000" cy="2743200"/>
            <wp:effectExtent l="0" t="0" r="19050" b="1905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pacing w:line="360" w:lineRule="auto"/>
        <w:jc w:val="center"/>
        <w:rPr>
          <w:rFonts w:ascii="Times New Roman" w:hAnsi="Times New Roman" w:eastAsia="方正仿宋简体"/>
          <w:sz w:val="32"/>
          <w:szCs w:val="32"/>
        </w:rPr>
      </w:pPr>
      <w:r>
        <w:rPr>
          <w:rFonts w:ascii="Times New Roman" w:hAnsi="Times New Roman" w:eastAsia="方正仿宋简体"/>
          <w:b/>
          <w:color w:val="000000" w:themeColor="text1"/>
          <w:sz w:val="32"/>
          <w:szCs w:val="32"/>
          <w14:textFill>
            <w14:solidFill>
              <w14:schemeClr w14:val="tx1"/>
            </w14:solidFill>
          </w14:textFill>
        </w:rPr>
        <w:t>表2.4-1 石桥镇畜禽养殖情况统计图</w:t>
      </w:r>
    </w:p>
    <w:p>
      <w:pPr>
        <w:pStyle w:val="5"/>
        <w:spacing w:before="0" w:after="0" w:line="560" w:lineRule="exact"/>
        <w:jc w:val="left"/>
        <w:rPr>
          <w:rFonts w:ascii="Times New Roman" w:hAnsi="Times New Roman" w:eastAsia="方正仿宋简体"/>
          <w:b w:val="0"/>
          <w:bCs w:val="0"/>
          <w:color w:val="000000" w:themeColor="text1"/>
          <w:sz w:val="32"/>
          <w:szCs w:val="32"/>
          <w14:textFill>
            <w14:solidFill>
              <w14:schemeClr w14:val="tx1"/>
            </w14:solidFill>
          </w14:textFill>
        </w:rPr>
      </w:pPr>
      <w:r>
        <w:rPr>
          <w:rFonts w:ascii="Times New Roman" w:hAnsi="Times New Roman" w:eastAsia="方正仿宋简体"/>
          <w:b w:val="0"/>
          <w:bCs w:val="0"/>
          <w:color w:val="000000" w:themeColor="text1"/>
          <w:sz w:val="32"/>
          <w:szCs w:val="32"/>
          <w14:textFill>
            <w14:solidFill>
              <w14:schemeClr w14:val="tx1"/>
            </w14:solidFill>
          </w14:textFill>
        </w:rPr>
        <w:t>2.4.1.1规模化畜禽养殖情况</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（1）规模化畜禽养殖空间分布情况</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截止2020年底，济宁太白湖新区规模化的畜禽养殖场8家，济宁太白湖新区各镇街规模化畜禽养殖情况见表2.4-2。</w:t>
      </w:r>
    </w:p>
    <w:p>
      <w:pPr>
        <w:pStyle w:val="8"/>
        <w:spacing w:line="560" w:lineRule="exact"/>
        <w:ind w:firstLine="0" w:firstLineChars="0"/>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表2.4-2各镇街规模化畜禽养殖情况统计表</w:t>
      </w:r>
    </w:p>
    <w:tbl>
      <w:tblPr>
        <w:tblStyle w:val="27"/>
        <w:tblW w:w="5546" w:type="pct"/>
        <w:tblInd w:w="-743" w:type="dxa"/>
        <w:tblLayout w:type="fixed"/>
        <w:tblCellMar>
          <w:top w:w="0" w:type="dxa"/>
          <w:left w:w="108" w:type="dxa"/>
          <w:bottom w:w="0" w:type="dxa"/>
          <w:right w:w="108" w:type="dxa"/>
        </w:tblCellMar>
      </w:tblPr>
      <w:tblGrid>
        <w:gridCol w:w="410"/>
        <w:gridCol w:w="867"/>
        <w:gridCol w:w="568"/>
        <w:gridCol w:w="955"/>
        <w:gridCol w:w="1028"/>
        <w:gridCol w:w="425"/>
        <w:gridCol w:w="849"/>
        <w:gridCol w:w="853"/>
        <w:gridCol w:w="427"/>
        <w:gridCol w:w="546"/>
        <w:gridCol w:w="589"/>
        <w:gridCol w:w="566"/>
        <w:gridCol w:w="931"/>
        <w:gridCol w:w="909"/>
      </w:tblGrid>
      <w:tr>
        <w:tblPrEx>
          <w:tblCellMar>
            <w:top w:w="0" w:type="dxa"/>
            <w:left w:w="108" w:type="dxa"/>
            <w:bottom w:w="0" w:type="dxa"/>
            <w:right w:w="108" w:type="dxa"/>
          </w:tblCellMar>
        </w:tblPrEx>
        <w:trPr>
          <w:trHeight w:val="285" w:hRule="atLeast"/>
        </w:trPr>
        <w:tc>
          <w:tcPr>
            <w:tcW w:w="207"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序号</w:t>
            </w:r>
          </w:p>
        </w:tc>
        <w:tc>
          <w:tcPr>
            <w:tcW w:w="437"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镇街名称</w:t>
            </w:r>
          </w:p>
        </w:tc>
        <w:tc>
          <w:tcPr>
            <w:tcW w:w="1285" w:type="pct"/>
            <w:gridSpan w:val="3"/>
            <w:tcBorders>
              <w:top w:val="single" w:color="auto" w:sz="8" w:space="0"/>
              <w:left w:val="nil"/>
              <w:bottom w:val="single" w:color="auto" w:sz="8" w:space="0"/>
              <w:right w:val="single" w:color="000000"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生猪</w:t>
            </w:r>
          </w:p>
        </w:tc>
        <w:tc>
          <w:tcPr>
            <w:tcW w:w="1072" w:type="pct"/>
            <w:gridSpan w:val="3"/>
            <w:tcBorders>
              <w:top w:val="single" w:color="auto" w:sz="8" w:space="0"/>
              <w:left w:val="nil"/>
              <w:bottom w:val="single" w:color="auto" w:sz="8" w:space="0"/>
              <w:right w:val="single" w:color="000000"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牛</w:t>
            </w:r>
          </w:p>
        </w:tc>
        <w:tc>
          <w:tcPr>
            <w:tcW w:w="787" w:type="pct"/>
            <w:gridSpan w:val="3"/>
            <w:tcBorders>
              <w:top w:val="single" w:color="auto" w:sz="8" w:space="0"/>
              <w:left w:val="nil"/>
              <w:bottom w:val="single" w:color="auto" w:sz="8" w:space="0"/>
              <w:right w:val="single" w:color="000000"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羊</w:t>
            </w:r>
          </w:p>
        </w:tc>
        <w:tc>
          <w:tcPr>
            <w:tcW w:w="1212" w:type="pct"/>
            <w:gridSpan w:val="3"/>
            <w:tcBorders>
              <w:top w:val="single" w:color="auto" w:sz="8" w:space="0"/>
              <w:left w:val="nil"/>
              <w:bottom w:val="single" w:color="auto" w:sz="8" w:space="0"/>
              <w:right w:val="single" w:color="000000"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禽类</w:t>
            </w:r>
          </w:p>
        </w:tc>
      </w:tr>
      <w:tr>
        <w:tblPrEx>
          <w:tblCellMar>
            <w:top w:w="0" w:type="dxa"/>
            <w:left w:w="108" w:type="dxa"/>
            <w:bottom w:w="0" w:type="dxa"/>
            <w:right w:w="108" w:type="dxa"/>
          </w:tblCellMar>
        </w:tblPrEx>
        <w:trPr>
          <w:trHeight w:val="285" w:hRule="atLeast"/>
        </w:trPr>
        <w:tc>
          <w:tcPr>
            <w:tcW w:w="207" w:type="pct"/>
            <w:vMerge w:val="continue"/>
            <w:tcBorders>
              <w:top w:val="single" w:color="auto" w:sz="8" w:space="0"/>
              <w:left w:val="single" w:color="auto" w:sz="8" w:space="0"/>
              <w:bottom w:val="single" w:color="000000" w:sz="8" w:space="0"/>
              <w:right w:val="single" w:color="auto" w:sz="8" w:space="0"/>
            </w:tcBorders>
            <w:vAlign w:val="center"/>
          </w:tcPr>
          <w:p>
            <w:pPr>
              <w:widowControl/>
              <w:adjustRightInd w:val="0"/>
              <w:snapToGrid w:val="0"/>
              <w:jc w:val="center"/>
              <w:rPr>
                <w:rFonts w:ascii="Times New Roman" w:hAnsi="Times New Roman" w:eastAsia="方正仿宋简体"/>
                <w:b/>
                <w:bCs/>
                <w:color w:val="000000"/>
                <w:kern w:val="0"/>
                <w:sz w:val="28"/>
                <w:szCs w:val="28"/>
              </w:rPr>
            </w:pPr>
          </w:p>
        </w:tc>
        <w:tc>
          <w:tcPr>
            <w:tcW w:w="437" w:type="pct"/>
            <w:vMerge w:val="continue"/>
            <w:tcBorders>
              <w:top w:val="single" w:color="auto" w:sz="8" w:space="0"/>
              <w:left w:val="single" w:color="auto" w:sz="8" w:space="0"/>
              <w:bottom w:val="single" w:color="000000" w:sz="8" w:space="0"/>
              <w:right w:val="single" w:color="auto" w:sz="8" w:space="0"/>
            </w:tcBorders>
            <w:vAlign w:val="center"/>
          </w:tcPr>
          <w:p>
            <w:pPr>
              <w:widowControl/>
              <w:adjustRightInd w:val="0"/>
              <w:snapToGrid w:val="0"/>
              <w:jc w:val="center"/>
              <w:rPr>
                <w:rFonts w:ascii="Times New Roman" w:hAnsi="Times New Roman" w:eastAsia="方正仿宋简体"/>
                <w:b/>
                <w:bCs/>
                <w:color w:val="000000"/>
                <w:kern w:val="0"/>
                <w:sz w:val="28"/>
                <w:szCs w:val="28"/>
              </w:rPr>
            </w:pPr>
          </w:p>
        </w:tc>
        <w:tc>
          <w:tcPr>
            <w:tcW w:w="286"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户数</w:t>
            </w:r>
          </w:p>
        </w:tc>
        <w:tc>
          <w:tcPr>
            <w:tcW w:w="481"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存栏</w:t>
            </w:r>
          </w:p>
        </w:tc>
        <w:tc>
          <w:tcPr>
            <w:tcW w:w="518"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出栏</w:t>
            </w:r>
          </w:p>
        </w:tc>
        <w:tc>
          <w:tcPr>
            <w:tcW w:w="214"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户数</w:t>
            </w:r>
          </w:p>
        </w:tc>
        <w:tc>
          <w:tcPr>
            <w:tcW w:w="428"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存栏</w:t>
            </w:r>
          </w:p>
        </w:tc>
        <w:tc>
          <w:tcPr>
            <w:tcW w:w="430"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出栏</w:t>
            </w:r>
          </w:p>
        </w:tc>
        <w:tc>
          <w:tcPr>
            <w:tcW w:w="215"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户数</w:t>
            </w:r>
          </w:p>
        </w:tc>
        <w:tc>
          <w:tcPr>
            <w:tcW w:w="275"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存栏</w:t>
            </w:r>
          </w:p>
        </w:tc>
        <w:tc>
          <w:tcPr>
            <w:tcW w:w="297"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出栏</w:t>
            </w:r>
          </w:p>
        </w:tc>
        <w:tc>
          <w:tcPr>
            <w:tcW w:w="285"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户数</w:t>
            </w:r>
          </w:p>
        </w:tc>
        <w:tc>
          <w:tcPr>
            <w:tcW w:w="469"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存栏</w:t>
            </w:r>
          </w:p>
        </w:tc>
        <w:tc>
          <w:tcPr>
            <w:tcW w:w="458"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出栏</w:t>
            </w:r>
          </w:p>
        </w:tc>
      </w:tr>
      <w:tr>
        <w:tblPrEx>
          <w:tblCellMar>
            <w:top w:w="0" w:type="dxa"/>
            <w:left w:w="108" w:type="dxa"/>
            <w:bottom w:w="0" w:type="dxa"/>
            <w:right w:w="108" w:type="dxa"/>
          </w:tblCellMar>
        </w:tblPrEx>
        <w:trPr>
          <w:trHeight w:val="285" w:hRule="atLeast"/>
        </w:trPr>
        <w:tc>
          <w:tcPr>
            <w:tcW w:w="207" w:type="pct"/>
            <w:tcBorders>
              <w:top w:val="nil"/>
              <w:left w:val="single" w:color="auto" w:sz="8" w:space="0"/>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w:t>
            </w:r>
          </w:p>
        </w:tc>
        <w:tc>
          <w:tcPr>
            <w:tcW w:w="437"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许庄街道</w:t>
            </w:r>
          </w:p>
        </w:tc>
        <w:tc>
          <w:tcPr>
            <w:tcW w:w="286"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481"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518"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214"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428"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430"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215"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275"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297"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285"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469"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458"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r>
      <w:tr>
        <w:tblPrEx>
          <w:tblCellMar>
            <w:top w:w="0" w:type="dxa"/>
            <w:left w:w="108" w:type="dxa"/>
            <w:bottom w:w="0" w:type="dxa"/>
            <w:right w:w="108" w:type="dxa"/>
          </w:tblCellMar>
        </w:tblPrEx>
        <w:trPr>
          <w:trHeight w:val="285" w:hRule="atLeast"/>
        </w:trPr>
        <w:tc>
          <w:tcPr>
            <w:tcW w:w="207" w:type="pct"/>
            <w:tcBorders>
              <w:top w:val="nil"/>
              <w:left w:val="single" w:color="auto" w:sz="8" w:space="0"/>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w:t>
            </w:r>
          </w:p>
        </w:tc>
        <w:tc>
          <w:tcPr>
            <w:tcW w:w="437"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石桥镇</w:t>
            </w:r>
          </w:p>
        </w:tc>
        <w:tc>
          <w:tcPr>
            <w:tcW w:w="286"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6</w:t>
            </w:r>
          </w:p>
        </w:tc>
        <w:tc>
          <w:tcPr>
            <w:tcW w:w="481"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10850</w:t>
            </w:r>
          </w:p>
        </w:tc>
        <w:tc>
          <w:tcPr>
            <w:tcW w:w="518"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34090</w:t>
            </w:r>
          </w:p>
        </w:tc>
        <w:tc>
          <w:tcPr>
            <w:tcW w:w="214"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w:t>
            </w:r>
          </w:p>
        </w:tc>
        <w:tc>
          <w:tcPr>
            <w:tcW w:w="428"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3000</w:t>
            </w:r>
          </w:p>
        </w:tc>
        <w:tc>
          <w:tcPr>
            <w:tcW w:w="430"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660</w:t>
            </w:r>
          </w:p>
        </w:tc>
        <w:tc>
          <w:tcPr>
            <w:tcW w:w="215"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275"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297"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285"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w:t>
            </w:r>
          </w:p>
        </w:tc>
        <w:tc>
          <w:tcPr>
            <w:tcW w:w="469"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4800</w:t>
            </w:r>
          </w:p>
        </w:tc>
        <w:tc>
          <w:tcPr>
            <w:tcW w:w="458"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4800</w:t>
            </w:r>
          </w:p>
        </w:tc>
      </w:tr>
      <w:tr>
        <w:tblPrEx>
          <w:tblCellMar>
            <w:top w:w="0" w:type="dxa"/>
            <w:left w:w="108" w:type="dxa"/>
            <w:bottom w:w="0" w:type="dxa"/>
            <w:right w:w="108" w:type="dxa"/>
          </w:tblCellMar>
        </w:tblPrEx>
        <w:trPr>
          <w:trHeight w:val="285" w:hRule="atLeast"/>
        </w:trPr>
        <w:tc>
          <w:tcPr>
            <w:tcW w:w="643" w:type="pct"/>
            <w:gridSpan w:val="2"/>
            <w:tcBorders>
              <w:top w:val="single" w:color="auto" w:sz="8" w:space="0"/>
              <w:left w:val="single" w:color="auto" w:sz="8" w:space="0"/>
              <w:bottom w:val="single" w:color="auto" w:sz="8" w:space="0"/>
              <w:right w:val="single" w:color="000000"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合计</w:t>
            </w:r>
          </w:p>
        </w:tc>
        <w:tc>
          <w:tcPr>
            <w:tcW w:w="286"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6</w:t>
            </w:r>
          </w:p>
        </w:tc>
        <w:tc>
          <w:tcPr>
            <w:tcW w:w="481"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10850</w:t>
            </w:r>
          </w:p>
        </w:tc>
        <w:tc>
          <w:tcPr>
            <w:tcW w:w="518"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34090</w:t>
            </w:r>
          </w:p>
        </w:tc>
        <w:tc>
          <w:tcPr>
            <w:tcW w:w="214"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w:t>
            </w:r>
          </w:p>
        </w:tc>
        <w:tc>
          <w:tcPr>
            <w:tcW w:w="428"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3000</w:t>
            </w:r>
          </w:p>
        </w:tc>
        <w:tc>
          <w:tcPr>
            <w:tcW w:w="430"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660</w:t>
            </w:r>
          </w:p>
        </w:tc>
        <w:tc>
          <w:tcPr>
            <w:tcW w:w="215"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275"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297"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285"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w:t>
            </w:r>
          </w:p>
        </w:tc>
        <w:tc>
          <w:tcPr>
            <w:tcW w:w="469"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4800</w:t>
            </w:r>
          </w:p>
        </w:tc>
        <w:tc>
          <w:tcPr>
            <w:tcW w:w="458"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4800</w:t>
            </w:r>
          </w:p>
        </w:tc>
      </w:tr>
      <w:tr>
        <w:tblPrEx>
          <w:tblCellMar>
            <w:top w:w="0" w:type="dxa"/>
            <w:left w:w="108" w:type="dxa"/>
            <w:bottom w:w="0" w:type="dxa"/>
            <w:right w:w="108" w:type="dxa"/>
          </w:tblCellMar>
        </w:tblPrEx>
        <w:trPr>
          <w:trHeight w:val="285" w:hRule="atLeast"/>
        </w:trPr>
        <w:tc>
          <w:tcPr>
            <w:tcW w:w="643" w:type="pct"/>
            <w:gridSpan w:val="2"/>
            <w:tcBorders>
              <w:top w:val="single" w:color="auto" w:sz="8" w:space="0"/>
              <w:left w:val="single" w:color="auto" w:sz="8" w:space="0"/>
              <w:bottom w:val="single" w:color="auto" w:sz="8" w:space="0"/>
              <w:right w:val="single" w:color="000000"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备注</w:t>
            </w:r>
          </w:p>
        </w:tc>
        <w:tc>
          <w:tcPr>
            <w:tcW w:w="4357" w:type="pct"/>
            <w:gridSpan w:val="12"/>
            <w:tcBorders>
              <w:top w:val="single" w:color="auto" w:sz="8" w:space="0"/>
              <w:left w:val="nil"/>
              <w:bottom w:val="single" w:color="auto" w:sz="8" w:space="0"/>
              <w:right w:val="single" w:color="000000"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户数单位为家，生猪、肉牛存栏量、出栏量单位为头，禽类存栏量、出栏量单位为羽。</w:t>
            </w:r>
          </w:p>
        </w:tc>
      </w:tr>
    </w:tbl>
    <w:p>
      <w:pPr>
        <w:spacing w:line="360" w:lineRule="auto"/>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sz w:val="32"/>
          <w:szCs w:val="32"/>
        </w:rPr>
        <w:drawing>
          <wp:inline distT="0" distB="0" distL="0" distR="0">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pacing w:line="360" w:lineRule="auto"/>
        <w:ind w:firstLine="643" w:firstLineChars="200"/>
        <w:jc w:val="center"/>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表2.4-2 石桥镇规模化畜禽养殖情况统计图</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（2）规模化畜禽养殖场情况</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规模化生猪养殖场8家，2020年存栏量</w:t>
      </w:r>
      <w:r>
        <w:rPr>
          <w:rFonts w:ascii="Times New Roman" w:hAnsi="Times New Roman" w:eastAsia="方正仿宋简体"/>
          <w:color w:val="000000"/>
          <w:sz w:val="32"/>
          <w:szCs w:val="32"/>
        </w:rPr>
        <w:t>15813</w:t>
      </w:r>
      <w:r>
        <w:rPr>
          <w:rFonts w:ascii="Times New Roman" w:hAnsi="Times New Roman" w:eastAsia="方正仿宋简体"/>
          <w:color w:val="000000" w:themeColor="text1"/>
          <w:sz w:val="32"/>
          <w:szCs w:val="32"/>
          <w14:textFill>
            <w14:solidFill>
              <w14:schemeClr w14:val="tx1"/>
            </w14:solidFill>
          </w14:textFill>
        </w:rPr>
        <w:t>头，出栏量</w:t>
      </w:r>
      <w:r>
        <w:rPr>
          <w:rFonts w:ascii="Times New Roman" w:hAnsi="Times New Roman" w:eastAsia="方正仿宋简体"/>
          <w:color w:val="000000"/>
          <w:sz w:val="32"/>
          <w:szCs w:val="32"/>
        </w:rPr>
        <w:t>44016</w:t>
      </w:r>
      <w:r>
        <w:rPr>
          <w:rFonts w:ascii="Times New Roman" w:hAnsi="Times New Roman" w:eastAsia="方正仿宋简体"/>
          <w:color w:val="000000" w:themeColor="text1"/>
          <w:sz w:val="32"/>
          <w:szCs w:val="32"/>
          <w14:textFill>
            <w14:solidFill>
              <w14:schemeClr w14:val="tx1"/>
            </w14:solidFill>
          </w14:textFill>
        </w:rPr>
        <w:t>头，均集中在石桥镇。累计建筑面积36680m</w:t>
      </w:r>
      <w:r>
        <w:rPr>
          <w:rFonts w:ascii="Times New Roman" w:hAnsi="Times New Roman" w:eastAsia="方正仿宋简体"/>
          <w:color w:val="000000" w:themeColor="text1"/>
          <w:sz w:val="32"/>
          <w:szCs w:val="32"/>
          <w:vertAlign w:val="superscript"/>
          <w14:textFill>
            <w14:solidFill>
              <w14:schemeClr w14:val="tx1"/>
            </w14:solidFill>
          </w14:textFill>
        </w:rPr>
        <w:t>2</w:t>
      </w:r>
      <w:r>
        <w:rPr>
          <w:rFonts w:ascii="Times New Roman" w:hAnsi="Times New Roman" w:eastAsia="方正仿宋简体"/>
          <w:color w:val="000000" w:themeColor="text1"/>
          <w:sz w:val="32"/>
          <w:szCs w:val="32"/>
          <w14:textFill>
            <w14:solidFill>
              <w14:schemeClr w14:val="tx1"/>
            </w14:solidFill>
          </w14:textFill>
        </w:rPr>
        <w:t>，配套耕地面积1420亩，建设堆粪场面积902m</w:t>
      </w:r>
      <w:r>
        <w:rPr>
          <w:rFonts w:ascii="Times New Roman" w:hAnsi="Times New Roman" w:eastAsia="方正仿宋简体"/>
          <w:color w:val="000000" w:themeColor="text1"/>
          <w:sz w:val="32"/>
          <w:szCs w:val="32"/>
          <w:vertAlign w:val="superscript"/>
          <w14:textFill>
            <w14:solidFill>
              <w14:schemeClr w14:val="tx1"/>
            </w14:solidFill>
          </w14:textFill>
        </w:rPr>
        <w:t>2</w:t>
      </w:r>
      <w:r>
        <w:rPr>
          <w:rFonts w:ascii="Times New Roman" w:hAnsi="Times New Roman" w:eastAsia="方正仿宋简体"/>
          <w:color w:val="000000" w:themeColor="text1"/>
          <w:sz w:val="32"/>
          <w:szCs w:val="32"/>
          <w14:textFill>
            <w14:solidFill>
              <w14:schemeClr w14:val="tx1"/>
            </w14:solidFill>
          </w14:textFill>
        </w:rPr>
        <w:t>，建设污水存储池2750m</w:t>
      </w:r>
      <w:r>
        <w:rPr>
          <w:rFonts w:ascii="Times New Roman" w:hAnsi="Times New Roman" w:eastAsia="方正仿宋简体"/>
          <w:color w:val="000000" w:themeColor="text1"/>
          <w:sz w:val="32"/>
          <w:szCs w:val="32"/>
          <w:vertAlign w:val="superscript"/>
          <w14:textFill>
            <w14:solidFill>
              <w14:schemeClr w14:val="tx1"/>
            </w14:solidFill>
          </w14:textFill>
        </w:rPr>
        <w:t>3</w:t>
      </w:r>
      <w:r>
        <w:rPr>
          <w:rFonts w:ascii="Times New Roman" w:hAnsi="Times New Roman" w:eastAsia="方正仿宋简体"/>
          <w:color w:val="000000" w:themeColor="text1"/>
          <w:sz w:val="32"/>
          <w:szCs w:val="32"/>
          <w14:textFill>
            <w14:solidFill>
              <w14:schemeClr w14:val="tx1"/>
            </w14:solidFill>
          </w14:textFill>
        </w:rPr>
        <w:t>。</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规模化奶牛养殖场1家，2020牛存栏量3150头，出栏量810头。累计建筑面积140344m</w:t>
      </w:r>
      <w:r>
        <w:rPr>
          <w:rFonts w:ascii="Times New Roman" w:hAnsi="Times New Roman" w:eastAsia="方正仿宋简体"/>
          <w:color w:val="000000" w:themeColor="text1"/>
          <w:sz w:val="32"/>
          <w:szCs w:val="32"/>
          <w:vertAlign w:val="superscript"/>
          <w14:textFill>
            <w14:solidFill>
              <w14:schemeClr w14:val="tx1"/>
            </w14:solidFill>
          </w14:textFill>
        </w:rPr>
        <w:t>2</w:t>
      </w:r>
      <w:r>
        <w:rPr>
          <w:rFonts w:ascii="Times New Roman" w:hAnsi="Times New Roman" w:eastAsia="方正仿宋简体"/>
          <w:color w:val="000000" w:themeColor="text1"/>
          <w:sz w:val="32"/>
          <w:szCs w:val="32"/>
          <w14:textFill>
            <w14:solidFill>
              <w14:schemeClr w14:val="tx1"/>
            </w14:solidFill>
          </w14:textFill>
        </w:rPr>
        <w:t>，配套耕地面积13352.4亩，建设堆粪场面积7800m</w:t>
      </w:r>
      <w:r>
        <w:rPr>
          <w:rFonts w:ascii="Times New Roman" w:hAnsi="Times New Roman" w:eastAsia="方正仿宋简体"/>
          <w:color w:val="000000" w:themeColor="text1"/>
          <w:sz w:val="32"/>
          <w:szCs w:val="32"/>
          <w:vertAlign w:val="superscript"/>
          <w14:textFill>
            <w14:solidFill>
              <w14:schemeClr w14:val="tx1"/>
            </w14:solidFill>
          </w14:textFill>
        </w:rPr>
        <w:t>2</w:t>
      </w:r>
      <w:r>
        <w:rPr>
          <w:rFonts w:ascii="Times New Roman" w:hAnsi="Times New Roman" w:eastAsia="方正仿宋简体"/>
          <w:color w:val="000000" w:themeColor="text1"/>
          <w:sz w:val="32"/>
          <w:szCs w:val="32"/>
          <w14:textFill>
            <w14:solidFill>
              <w14:schemeClr w14:val="tx1"/>
            </w14:solidFill>
          </w14:textFill>
        </w:rPr>
        <w:t>，建设污水存储池3000m</w:t>
      </w:r>
      <w:r>
        <w:rPr>
          <w:rFonts w:ascii="Times New Roman" w:hAnsi="Times New Roman" w:eastAsia="方正仿宋简体"/>
          <w:color w:val="000000" w:themeColor="text1"/>
          <w:sz w:val="32"/>
          <w:szCs w:val="32"/>
          <w:vertAlign w:val="superscript"/>
          <w14:textFill>
            <w14:solidFill>
              <w14:schemeClr w14:val="tx1"/>
            </w14:solidFill>
          </w14:textFill>
        </w:rPr>
        <w:t>3</w:t>
      </w:r>
      <w:r>
        <w:rPr>
          <w:rFonts w:ascii="Times New Roman" w:hAnsi="Times New Roman" w:eastAsia="方正仿宋简体"/>
          <w:color w:val="000000" w:themeColor="text1"/>
          <w:sz w:val="32"/>
          <w:szCs w:val="32"/>
          <w14:textFill>
            <w14:solidFill>
              <w14:schemeClr w14:val="tx1"/>
            </w14:solidFill>
          </w14:textFill>
        </w:rPr>
        <w:t>。</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规模化禽类养殖场1家，2020年累计存栏量4800羽，出栏量4800羽，规模化禽类养殖场1家（蛋鸡养殖），山东济宁南阳湖农场农业观光园，累计建筑面积4800m</w:t>
      </w:r>
      <w:r>
        <w:rPr>
          <w:rFonts w:ascii="Times New Roman" w:hAnsi="Times New Roman" w:eastAsia="方正仿宋简体"/>
          <w:color w:val="000000" w:themeColor="text1"/>
          <w:sz w:val="32"/>
          <w:szCs w:val="32"/>
          <w:vertAlign w:val="superscript"/>
          <w14:textFill>
            <w14:solidFill>
              <w14:schemeClr w14:val="tx1"/>
            </w14:solidFill>
          </w14:textFill>
        </w:rPr>
        <w:t>2</w:t>
      </w:r>
      <w:r>
        <w:rPr>
          <w:rFonts w:ascii="Times New Roman" w:hAnsi="Times New Roman" w:eastAsia="方正仿宋简体"/>
          <w:color w:val="000000" w:themeColor="text1"/>
          <w:sz w:val="32"/>
          <w:szCs w:val="32"/>
          <w14:textFill>
            <w14:solidFill>
              <w14:schemeClr w14:val="tx1"/>
            </w14:solidFill>
          </w14:textFill>
        </w:rPr>
        <w:t>，配套耕地面积70亩，建设堆粪场面积20m</w:t>
      </w:r>
      <w:r>
        <w:rPr>
          <w:rFonts w:ascii="Times New Roman" w:hAnsi="Times New Roman" w:eastAsia="方正仿宋简体"/>
          <w:color w:val="000000" w:themeColor="text1"/>
          <w:sz w:val="32"/>
          <w:szCs w:val="32"/>
          <w:vertAlign w:val="superscript"/>
          <w14:textFill>
            <w14:solidFill>
              <w14:schemeClr w14:val="tx1"/>
            </w14:solidFill>
          </w14:textFill>
        </w:rPr>
        <w:t>2</w:t>
      </w:r>
      <w:r>
        <w:rPr>
          <w:rFonts w:ascii="Times New Roman" w:hAnsi="Times New Roman" w:eastAsia="方正仿宋简体"/>
          <w:color w:val="000000" w:themeColor="text1"/>
          <w:sz w:val="32"/>
          <w:szCs w:val="32"/>
          <w14:textFill>
            <w14:solidFill>
              <w14:schemeClr w14:val="tx1"/>
            </w14:solidFill>
          </w14:textFill>
        </w:rPr>
        <w:t>，均无污水存储池。</w:t>
      </w:r>
    </w:p>
    <w:p>
      <w:pPr>
        <w:pStyle w:val="5"/>
        <w:spacing w:before="0" w:after="0" w:line="560" w:lineRule="exact"/>
        <w:jc w:val="left"/>
        <w:rPr>
          <w:rFonts w:ascii="Times New Roman" w:hAnsi="Times New Roman" w:eastAsia="方正仿宋简体"/>
          <w:b w:val="0"/>
          <w:bCs w:val="0"/>
          <w:color w:val="000000" w:themeColor="text1"/>
          <w:sz w:val="32"/>
          <w:szCs w:val="32"/>
          <w14:textFill>
            <w14:solidFill>
              <w14:schemeClr w14:val="tx1"/>
            </w14:solidFill>
          </w14:textFill>
        </w:rPr>
      </w:pPr>
      <w:r>
        <w:rPr>
          <w:rFonts w:ascii="Times New Roman" w:hAnsi="Times New Roman" w:eastAsia="方正仿宋简体"/>
          <w:b w:val="0"/>
          <w:bCs w:val="0"/>
          <w:color w:val="000000" w:themeColor="text1"/>
          <w:sz w:val="32"/>
          <w:szCs w:val="32"/>
          <w14:textFill>
            <w14:solidFill>
              <w14:schemeClr w14:val="tx1"/>
            </w14:solidFill>
          </w14:textFill>
        </w:rPr>
        <w:t>2.4.1.2规模以下畜禽养殖情况</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济宁太白湖新区规模以下畜禽养殖以专业养殖户及散养户方式进行养殖，根据济宁北湖省级旅游度假区农业服务中心和济宁太白湖新区统计局提供资料显示：</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2020年济宁太白湖新区畜禽养殖专业户及散养户共有101户，均在石桥镇，生猪存栏量4963头，出栏量9926头；肉牛存栏量150头，出栏量150头；羊存栏量807头，出栏量807头；家禽存栏量61500羽，出栏量307500羽。济宁太白湖新区各镇街规模以下畜禽养殖情况见表2.4-3。</w:t>
      </w:r>
    </w:p>
    <w:p>
      <w:pPr>
        <w:pStyle w:val="8"/>
        <w:spacing w:line="560" w:lineRule="exact"/>
        <w:ind w:firstLine="0" w:firstLineChars="0"/>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表2.4-3各镇街规模以下畜禽养殖情况</w:t>
      </w:r>
    </w:p>
    <w:tbl>
      <w:tblPr>
        <w:tblStyle w:val="27"/>
        <w:tblW w:w="5784" w:type="pct"/>
        <w:tblInd w:w="-601" w:type="dxa"/>
        <w:tblLayout w:type="fixed"/>
        <w:tblCellMar>
          <w:top w:w="0" w:type="dxa"/>
          <w:left w:w="108" w:type="dxa"/>
          <w:bottom w:w="0" w:type="dxa"/>
          <w:right w:w="108" w:type="dxa"/>
        </w:tblCellMar>
      </w:tblPr>
      <w:tblGrid>
        <w:gridCol w:w="564"/>
        <w:gridCol w:w="856"/>
        <w:gridCol w:w="565"/>
        <w:gridCol w:w="851"/>
        <w:gridCol w:w="909"/>
        <w:gridCol w:w="482"/>
        <w:gridCol w:w="737"/>
        <w:gridCol w:w="710"/>
        <w:gridCol w:w="567"/>
        <w:gridCol w:w="698"/>
        <w:gridCol w:w="720"/>
        <w:gridCol w:w="567"/>
        <w:gridCol w:w="991"/>
        <w:gridCol w:w="1132"/>
      </w:tblGrid>
      <w:tr>
        <w:tblPrEx>
          <w:tblCellMar>
            <w:top w:w="0" w:type="dxa"/>
            <w:left w:w="108" w:type="dxa"/>
            <w:bottom w:w="0" w:type="dxa"/>
            <w:right w:w="108" w:type="dxa"/>
          </w:tblCellMar>
        </w:tblPrEx>
        <w:trPr>
          <w:trHeight w:val="285" w:hRule="atLeast"/>
        </w:trPr>
        <w:tc>
          <w:tcPr>
            <w:tcW w:w="272" w:type="pct"/>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序号</w:t>
            </w:r>
          </w:p>
        </w:tc>
        <w:tc>
          <w:tcPr>
            <w:tcW w:w="413" w:type="pct"/>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所属</w:t>
            </w:r>
          </w:p>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镇街</w:t>
            </w:r>
          </w:p>
        </w:tc>
        <w:tc>
          <w:tcPr>
            <w:tcW w:w="1123" w:type="pct"/>
            <w:gridSpan w:val="3"/>
            <w:tcBorders>
              <w:top w:val="single" w:color="auto" w:sz="8" w:space="0"/>
              <w:left w:val="nil"/>
              <w:bottom w:val="single" w:color="auto" w:sz="8" w:space="0"/>
              <w:right w:val="single" w:color="000000" w:sz="8" w:space="0"/>
            </w:tcBorders>
            <w:shd w:val="clear" w:color="auto" w:fill="auto"/>
            <w:noWrap/>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生猪</w:t>
            </w:r>
          </w:p>
        </w:tc>
        <w:tc>
          <w:tcPr>
            <w:tcW w:w="932" w:type="pct"/>
            <w:gridSpan w:val="3"/>
            <w:tcBorders>
              <w:top w:val="single" w:color="auto" w:sz="8" w:space="0"/>
              <w:left w:val="nil"/>
              <w:bottom w:val="single" w:color="auto" w:sz="8" w:space="0"/>
              <w:right w:val="single" w:color="000000"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肉牛</w:t>
            </w:r>
          </w:p>
        </w:tc>
        <w:tc>
          <w:tcPr>
            <w:tcW w:w="959" w:type="pct"/>
            <w:gridSpan w:val="3"/>
            <w:tcBorders>
              <w:top w:val="single" w:color="auto" w:sz="8" w:space="0"/>
              <w:left w:val="nil"/>
              <w:bottom w:val="single" w:color="auto" w:sz="8" w:space="0"/>
              <w:right w:val="single" w:color="000000"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羊</w:t>
            </w:r>
          </w:p>
        </w:tc>
        <w:tc>
          <w:tcPr>
            <w:tcW w:w="1300" w:type="pct"/>
            <w:gridSpan w:val="3"/>
            <w:tcBorders>
              <w:top w:val="single" w:color="auto" w:sz="8" w:space="0"/>
              <w:left w:val="nil"/>
              <w:bottom w:val="single" w:color="auto" w:sz="8" w:space="0"/>
              <w:right w:val="single" w:color="000000"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家禽</w:t>
            </w:r>
          </w:p>
        </w:tc>
      </w:tr>
      <w:tr>
        <w:tblPrEx>
          <w:tblCellMar>
            <w:top w:w="0" w:type="dxa"/>
            <w:left w:w="108" w:type="dxa"/>
            <w:bottom w:w="0" w:type="dxa"/>
            <w:right w:w="108" w:type="dxa"/>
          </w:tblCellMar>
        </w:tblPrEx>
        <w:trPr>
          <w:trHeight w:val="285" w:hRule="atLeast"/>
        </w:trPr>
        <w:tc>
          <w:tcPr>
            <w:tcW w:w="272" w:type="pct"/>
            <w:vMerge w:val="continue"/>
            <w:tcBorders>
              <w:top w:val="single" w:color="auto" w:sz="8" w:space="0"/>
              <w:left w:val="single" w:color="auto" w:sz="8" w:space="0"/>
              <w:bottom w:val="single" w:color="000000" w:sz="8" w:space="0"/>
              <w:right w:val="single" w:color="auto" w:sz="8" w:space="0"/>
            </w:tcBorders>
            <w:vAlign w:val="center"/>
          </w:tcPr>
          <w:p>
            <w:pPr>
              <w:widowControl/>
              <w:adjustRightInd w:val="0"/>
              <w:snapToGrid w:val="0"/>
              <w:jc w:val="center"/>
              <w:rPr>
                <w:rFonts w:ascii="Times New Roman" w:hAnsi="Times New Roman" w:eastAsia="方正仿宋简体"/>
                <w:b/>
                <w:bCs/>
                <w:color w:val="000000"/>
                <w:kern w:val="0"/>
                <w:sz w:val="28"/>
                <w:szCs w:val="28"/>
              </w:rPr>
            </w:pPr>
          </w:p>
        </w:tc>
        <w:tc>
          <w:tcPr>
            <w:tcW w:w="413" w:type="pct"/>
            <w:vMerge w:val="continue"/>
            <w:tcBorders>
              <w:top w:val="single" w:color="auto" w:sz="8" w:space="0"/>
              <w:left w:val="single" w:color="auto" w:sz="8" w:space="0"/>
              <w:bottom w:val="single" w:color="000000" w:sz="8" w:space="0"/>
              <w:right w:val="single" w:color="auto" w:sz="8" w:space="0"/>
            </w:tcBorders>
            <w:vAlign w:val="center"/>
          </w:tcPr>
          <w:p>
            <w:pPr>
              <w:widowControl/>
              <w:adjustRightInd w:val="0"/>
              <w:snapToGrid w:val="0"/>
              <w:jc w:val="center"/>
              <w:rPr>
                <w:rFonts w:ascii="Times New Roman" w:hAnsi="Times New Roman" w:eastAsia="方正仿宋简体"/>
                <w:b/>
                <w:bCs/>
                <w:color w:val="000000"/>
                <w:kern w:val="0"/>
                <w:sz w:val="28"/>
                <w:szCs w:val="28"/>
              </w:rPr>
            </w:pPr>
          </w:p>
        </w:tc>
        <w:tc>
          <w:tcPr>
            <w:tcW w:w="273"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户数</w:t>
            </w:r>
          </w:p>
        </w:tc>
        <w:tc>
          <w:tcPr>
            <w:tcW w:w="411"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存栏量</w:t>
            </w:r>
          </w:p>
        </w:tc>
        <w:tc>
          <w:tcPr>
            <w:tcW w:w="439"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出栏量</w:t>
            </w:r>
          </w:p>
        </w:tc>
        <w:tc>
          <w:tcPr>
            <w:tcW w:w="233"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户数</w:t>
            </w:r>
          </w:p>
        </w:tc>
        <w:tc>
          <w:tcPr>
            <w:tcW w:w="356"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存栏量</w:t>
            </w:r>
          </w:p>
        </w:tc>
        <w:tc>
          <w:tcPr>
            <w:tcW w:w="343"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出栏量</w:t>
            </w:r>
          </w:p>
        </w:tc>
        <w:tc>
          <w:tcPr>
            <w:tcW w:w="274"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户数</w:t>
            </w:r>
          </w:p>
        </w:tc>
        <w:tc>
          <w:tcPr>
            <w:tcW w:w="337"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存栏量</w:t>
            </w:r>
          </w:p>
        </w:tc>
        <w:tc>
          <w:tcPr>
            <w:tcW w:w="347"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出栏量</w:t>
            </w:r>
          </w:p>
        </w:tc>
        <w:tc>
          <w:tcPr>
            <w:tcW w:w="274"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户数</w:t>
            </w:r>
          </w:p>
        </w:tc>
        <w:tc>
          <w:tcPr>
            <w:tcW w:w="479"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存栏量</w:t>
            </w:r>
          </w:p>
        </w:tc>
        <w:tc>
          <w:tcPr>
            <w:tcW w:w="546" w:type="pct"/>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出栏量</w:t>
            </w:r>
          </w:p>
        </w:tc>
      </w:tr>
      <w:tr>
        <w:tblPrEx>
          <w:tblCellMar>
            <w:top w:w="0" w:type="dxa"/>
            <w:left w:w="108" w:type="dxa"/>
            <w:bottom w:w="0" w:type="dxa"/>
            <w:right w:w="108" w:type="dxa"/>
          </w:tblCellMar>
        </w:tblPrEx>
        <w:trPr>
          <w:trHeight w:val="285" w:hRule="atLeast"/>
        </w:trPr>
        <w:tc>
          <w:tcPr>
            <w:tcW w:w="272" w:type="pct"/>
            <w:tcBorders>
              <w:top w:val="nil"/>
              <w:left w:val="single" w:color="auto" w:sz="8" w:space="0"/>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w:t>
            </w:r>
          </w:p>
        </w:tc>
        <w:tc>
          <w:tcPr>
            <w:tcW w:w="413"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许庄</w:t>
            </w:r>
          </w:p>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街道</w:t>
            </w:r>
          </w:p>
        </w:tc>
        <w:tc>
          <w:tcPr>
            <w:tcW w:w="273"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411"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439"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233"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356"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343"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274"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337"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347"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274"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479"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c>
          <w:tcPr>
            <w:tcW w:w="546"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w:t>
            </w:r>
          </w:p>
        </w:tc>
      </w:tr>
      <w:tr>
        <w:tblPrEx>
          <w:tblCellMar>
            <w:top w:w="0" w:type="dxa"/>
            <w:left w:w="108" w:type="dxa"/>
            <w:bottom w:w="0" w:type="dxa"/>
            <w:right w:w="108" w:type="dxa"/>
          </w:tblCellMar>
        </w:tblPrEx>
        <w:trPr>
          <w:trHeight w:val="285" w:hRule="atLeast"/>
        </w:trPr>
        <w:tc>
          <w:tcPr>
            <w:tcW w:w="272" w:type="pct"/>
            <w:tcBorders>
              <w:top w:val="nil"/>
              <w:left w:val="single" w:color="auto" w:sz="8" w:space="0"/>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w:t>
            </w:r>
          </w:p>
        </w:tc>
        <w:tc>
          <w:tcPr>
            <w:tcW w:w="413" w:type="pct"/>
            <w:tcBorders>
              <w:top w:val="nil"/>
              <w:left w:val="nil"/>
              <w:bottom w:val="single" w:color="auto" w:sz="8" w:space="0"/>
              <w:right w:val="single" w:color="auto"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石桥镇</w:t>
            </w:r>
          </w:p>
        </w:tc>
        <w:tc>
          <w:tcPr>
            <w:tcW w:w="273"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67</w:t>
            </w:r>
          </w:p>
        </w:tc>
        <w:tc>
          <w:tcPr>
            <w:tcW w:w="411"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4963</w:t>
            </w:r>
          </w:p>
        </w:tc>
        <w:tc>
          <w:tcPr>
            <w:tcW w:w="439"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9926</w:t>
            </w:r>
          </w:p>
        </w:tc>
        <w:tc>
          <w:tcPr>
            <w:tcW w:w="233" w:type="pct"/>
            <w:tcBorders>
              <w:top w:val="nil"/>
              <w:left w:val="nil"/>
              <w:bottom w:val="single" w:color="auto" w:sz="8" w:space="0"/>
              <w:right w:val="single" w:color="auto" w:sz="8" w:space="0"/>
            </w:tcBorders>
            <w:shd w:val="clear" w:color="auto" w:fill="auto"/>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4</w:t>
            </w:r>
          </w:p>
        </w:tc>
        <w:tc>
          <w:tcPr>
            <w:tcW w:w="356"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150</w:t>
            </w:r>
          </w:p>
        </w:tc>
        <w:tc>
          <w:tcPr>
            <w:tcW w:w="343"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150</w:t>
            </w:r>
          </w:p>
        </w:tc>
        <w:tc>
          <w:tcPr>
            <w:tcW w:w="274" w:type="pct"/>
            <w:tcBorders>
              <w:top w:val="nil"/>
              <w:left w:val="nil"/>
              <w:bottom w:val="single" w:color="auto" w:sz="8" w:space="0"/>
              <w:right w:val="single" w:color="auto" w:sz="8" w:space="0"/>
            </w:tcBorders>
            <w:shd w:val="clear" w:color="auto" w:fill="auto"/>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10</w:t>
            </w:r>
          </w:p>
        </w:tc>
        <w:tc>
          <w:tcPr>
            <w:tcW w:w="337"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807</w:t>
            </w:r>
          </w:p>
        </w:tc>
        <w:tc>
          <w:tcPr>
            <w:tcW w:w="347"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807</w:t>
            </w:r>
          </w:p>
        </w:tc>
        <w:tc>
          <w:tcPr>
            <w:tcW w:w="274" w:type="pct"/>
            <w:tcBorders>
              <w:top w:val="nil"/>
              <w:left w:val="nil"/>
              <w:bottom w:val="single" w:color="auto" w:sz="8" w:space="0"/>
              <w:right w:val="single" w:color="auto" w:sz="8" w:space="0"/>
            </w:tcBorders>
            <w:shd w:val="clear" w:color="auto" w:fill="auto"/>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20</w:t>
            </w:r>
          </w:p>
        </w:tc>
        <w:tc>
          <w:tcPr>
            <w:tcW w:w="479"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61500</w:t>
            </w:r>
          </w:p>
        </w:tc>
        <w:tc>
          <w:tcPr>
            <w:tcW w:w="546"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307500</w:t>
            </w:r>
          </w:p>
        </w:tc>
      </w:tr>
      <w:tr>
        <w:tblPrEx>
          <w:tblCellMar>
            <w:top w:w="0" w:type="dxa"/>
            <w:left w:w="108" w:type="dxa"/>
            <w:bottom w:w="0" w:type="dxa"/>
            <w:right w:w="108" w:type="dxa"/>
          </w:tblCellMar>
        </w:tblPrEx>
        <w:trPr>
          <w:trHeight w:val="285" w:hRule="atLeast"/>
        </w:trPr>
        <w:tc>
          <w:tcPr>
            <w:tcW w:w="685" w:type="pct"/>
            <w:gridSpan w:val="2"/>
            <w:tcBorders>
              <w:top w:val="single" w:color="auto" w:sz="8" w:space="0"/>
              <w:left w:val="single" w:color="auto" w:sz="8" w:space="0"/>
              <w:bottom w:val="single" w:color="auto" w:sz="8" w:space="0"/>
              <w:right w:val="single" w:color="000000" w:sz="8" w:space="0"/>
            </w:tcBorders>
            <w:shd w:val="clear" w:color="auto" w:fill="auto"/>
            <w:noWrap/>
            <w:vAlign w:val="center"/>
          </w:tcPr>
          <w:p>
            <w:pPr>
              <w:widowControl/>
              <w:adjustRightInd w:val="0"/>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合计</w:t>
            </w:r>
          </w:p>
        </w:tc>
        <w:tc>
          <w:tcPr>
            <w:tcW w:w="273"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67</w:t>
            </w:r>
          </w:p>
        </w:tc>
        <w:tc>
          <w:tcPr>
            <w:tcW w:w="411"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4963</w:t>
            </w:r>
          </w:p>
        </w:tc>
        <w:tc>
          <w:tcPr>
            <w:tcW w:w="439"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9926</w:t>
            </w:r>
          </w:p>
        </w:tc>
        <w:tc>
          <w:tcPr>
            <w:tcW w:w="233"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4</w:t>
            </w:r>
          </w:p>
        </w:tc>
        <w:tc>
          <w:tcPr>
            <w:tcW w:w="356"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150</w:t>
            </w:r>
          </w:p>
        </w:tc>
        <w:tc>
          <w:tcPr>
            <w:tcW w:w="343"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150</w:t>
            </w:r>
          </w:p>
        </w:tc>
        <w:tc>
          <w:tcPr>
            <w:tcW w:w="274"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10</w:t>
            </w:r>
          </w:p>
        </w:tc>
        <w:tc>
          <w:tcPr>
            <w:tcW w:w="337"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807</w:t>
            </w:r>
          </w:p>
        </w:tc>
        <w:tc>
          <w:tcPr>
            <w:tcW w:w="347"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807</w:t>
            </w:r>
          </w:p>
        </w:tc>
        <w:tc>
          <w:tcPr>
            <w:tcW w:w="274"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20</w:t>
            </w:r>
          </w:p>
        </w:tc>
        <w:tc>
          <w:tcPr>
            <w:tcW w:w="479"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61500</w:t>
            </w:r>
          </w:p>
        </w:tc>
        <w:tc>
          <w:tcPr>
            <w:tcW w:w="546" w:type="pct"/>
            <w:tcBorders>
              <w:top w:val="nil"/>
              <w:left w:val="nil"/>
              <w:bottom w:val="single" w:color="auto" w:sz="8" w:space="0"/>
              <w:right w:val="single" w:color="auto" w:sz="8" w:space="0"/>
            </w:tcBorders>
            <w:shd w:val="clear" w:color="auto" w:fill="auto"/>
            <w:noWrap/>
            <w:vAlign w:val="center"/>
          </w:tcPr>
          <w:p>
            <w:pPr>
              <w:adjustRightInd w:val="0"/>
              <w:snapToGrid w:val="0"/>
              <w:jc w:val="center"/>
              <w:rPr>
                <w:rFonts w:ascii="Times New Roman" w:hAnsi="Times New Roman" w:eastAsia="方正仿宋简体"/>
                <w:sz w:val="28"/>
                <w:szCs w:val="28"/>
              </w:rPr>
            </w:pPr>
            <w:r>
              <w:rPr>
                <w:rFonts w:ascii="Times New Roman" w:hAnsi="Times New Roman" w:eastAsia="方正仿宋简体"/>
                <w:sz w:val="28"/>
                <w:szCs w:val="28"/>
              </w:rPr>
              <w:t>307500</w:t>
            </w:r>
          </w:p>
        </w:tc>
      </w:tr>
    </w:tbl>
    <w:p>
      <w:pPr>
        <w:spacing w:line="360" w:lineRule="auto"/>
        <w:jc w:val="center"/>
        <w:rPr>
          <w:rFonts w:ascii="Times New Roman" w:hAnsi="Times New Roman" w:eastAsia="方正仿宋简体"/>
          <w:color w:val="000000" w:themeColor="text1"/>
          <w:sz w:val="32"/>
          <w:szCs w:val="32"/>
          <w14:textFill>
            <w14:solidFill>
              <w14:schemeClr w14:val="tx1"/>
            </w14:solidFill>
          </w14:textFill>
        </w:rPr>
      </w:pPr>
      <w:bookmarkStart w:id="170" w:name="_Toc119835901"/>
      <w:bookmarkStart w:id="171" w:name="_Toc119856291"/>
      <w:bookmarkStart w:id="172" w:name="_Toc119849219"/>
      <w:bookmarkStart w:id="173" w:name="_Toc119843224"/>
      <w:bookmarkStart w:id="174" w:name="_Toc119856679"/>
      <w:r>
        <w:rPr>
          <w:rFonts w:ascii="Times New Roman" w:hAnsi="Times New Roman" w:eastAsia="方正仿宋简体"/>
          <w:sz w:val="32"/>
          <w:szCs w:val="32"/>
        </w:rPr>
        <w:drawing>
          <wp:inline distT="0" distB="0" distL="0" distR="0">
            <wp:extent cx="4572000" cy="2743200"/>
            <wp:effectExtent l="0" t="0" r="19050" b="1905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pacing w:line="360" w:lineRule="auto"/>
        <w:jc w:val="center"/>
        <w:rPr>
          <w:rFonts w:ascii="Times New Roman" w:hAnsi="Times New Roman" w:eastAsia="方正仿宋简体"/>
          <w:b/>
          <w:sz w:val="32"/>
          <w:szCs w:val="32"/>
        </w:rPr>
      </w:pPr>
      <w:bookmarkStart w:id="175" w:name="_Toc138457267"/>
      <w:r>
        <w:rPr>
          <w:rFonts w:ascii="Times New Roman" w:hAnsi="Times New Roman" w:eastAsia="方正仿宋简体"/>
          <w:b/>
          <w:sz w:val="32"/>
          <w:szCs w:val="32"/>
        </w:rPr>
        <w:t>表2.4-3 石桥镇规模以下畜禽养殖情况统计图</w:t>
      </w:r>
      <w:bookmarkEnd w:id="175"/>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176" w:name="_Toc138888972"/>
      <w:r>
        <w:rPr>
          <w:rFonts w:ascii="Times New Roman" w:hAnsi="Times New Roman" w:eastAsia="方正仿宋简体"/>
          <w:color w:val="000000" w:themeColor="text1"/>
          <w14:textFill>
            <w14:solidFill>
              <w14:schemeClr w14:val="tx1"/>
            </w14:solidFill>
          </w14:textFill>
        </w:rPr>
        <w:t>2.4.2污染防治现状</w:t>
      </w:r>
      <w:bookmarkEnd w:id="170"/>
      <w:bookmarkEnd w:id="171"/>
      <w:bookmarkEnd w:id="172"/>
      <w:bookmarkEnd w:id="173"/>
      <w:bookmarkEnd w:id="174"/>
      <w:bookmarkEnd w:id="176"/>
    </w:p>
    <w:p>
      <w:pPr>
        <w:pStyle w:val="5"/>
        <w:spacing w:before="0" w:after="0" w:line="560" w:lineRule="exact"/>
        <w:jc w:val="left"/>
        <w:rPr>
          <w:rFonts w:ascii="Times New Roman" w:hAnsi="Times New Roman" w:eastAsia="方正仿宋简体"/>
          <w:b w:val="0"/>
          <w:bCs w:val="0"/>
          <w:color w:val="000000" w:themeColor="text1"/>
          <w:sz w:val="32"/>
          <w:szCs w:val="32"/>
          <w14:textFill>
            <w14:solidFill>
              <w14:schemeClr w14:val="tx1"/>
            </w14:solidFill>
          </w14:textFill>
        </w:rPr>
      </w:pPr>
      <w:r>
        <w:rPr>
          <w:rFonts w:ascii="Times New Roman" w:hAnsi="Times New Roman" w:eastAsia="方正仿宋简体"/>
          <w:b w:val="0"/>
          <w:bCs w:val="0"/>
          <w:color w:val="000000" w:themeColor="text1"/>
          <w:sz w:val="32"/>
          <w:szCs w:val="32"/>
          <w14:textFill>
            <w14:solidFill>
              <w14:schemeClr w14:val="tx1"/>
            </w14:solidFill>
          </w14:textFill>
        </w:rPr>
        <w:t>2.4.2.1畜禽养殖污染物处理现状</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（1）规模化畜禽养殖场</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经调查，2020年济宁太白湖新区畜禽规模养殖场共有8家。规模养殖场粪便利用主要以堆肥方式利用，其次用于厌氧发酵；产生的污水主要以肥水利用的方式处置，其次为生产沼气。规模化养殖场粪污处理情况见表2.4-4。</w:t>
      </w:r>
    </w:p>
    <w:p>
      <w:pPr>
        <w:spacing w:line="560" w:lineRule="exact"/>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表2.4-4 济宁太白湖新区规模化畜禽养殖粪污处理情况表</w:t>
      </w:r>
    </w:p>
    <w:tbl>
      <w:tblPr>
        <w:tblStyle w:val="27"/>
        <w:tblW w:w="823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1417"/>
        <w:gridCol w:w="1417"/>
        <w:gridCol w:w="171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0" w:type="dxa"/>
            <w:vMerge w:val="restart"/>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畜种类型</w:t>
            </w:r>
          </w:p>
        </w:tc>
        <w:tc>
          <w:tcPr>
            <w:tcW w:w="2834" w:type="dxa"/>
            <w:gridSpan w:val="2"/>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粪便利用方式</w:t>
            </w:r>
          </w:p>
        </w:tc>
        <w:tc>
          <w:tcPr>
            <w:tcW w:w="3843" w:type="dxa"/>
            <w:gridSpan w:val="2"/>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污水处置方式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0" w:type="dxa"/>
            <w:vMerge w:val="continue"/>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p>
        </w:tc>
        <w:tc>
          <w:tcPr>
            <w:tcW w:w="1417"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堆肥</w:t>
            </w:r>
          </w:p>
        </w:tc>
        <w:tc>
          <w:tcPr>
            <w:tcW w:w="1417"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厌氧发酵</w:t>
            </w:r>
          </w:p>
        </w:tc>
        <w:tc>
          <w:tcPr>
            <w:tcW w:w="1717"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肥水利用</w:t>
            </w:r>
          </w:p>
        </w:tc>
        <w:tc>
          <w:tcPr>
            <w:tcW w:w="2126"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生产沼气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0"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生猪</w:t>
            </w:r>
          </w:p>
        </w:tc>
        <w:tc>
          <w:tcPr>
            <w:tcW w:w="1417"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3</w:t>
            </w:r>
          </w:p>
        </w:tc>
        <w:tc>
          <w:tcPr>
            <w:tcW w:w="1417"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3</w:t>
            </w:r>
          </w:p>
        </w:tc>
        <w:tc>
          <w:tcPr>
            <w:tcW w:w="1717"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3</w:t>
            </w:r>
          </w:p>
        </w:tc>
        <w:tc>
          <w:tcPr>
            <w:tcW w:w="2126"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0"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牛</w:t>
            </w:r>
          </w:p>
        </w:tc>
        <w:tc>
          <w:tcPr>
            <w:tcW w:w="1417"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0</w:t>
            </w:r>
          </w:p>
        </w:tc>
        <w:tc>
          <w:tcPr>
            <w:tcW w:w="1417"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w:t>
            </w:r>
          </w:p>
        </w:tc>
        <w:tc>
          <w:tcPr>
            <w:tcW w:w="1717"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w:t>
            </w:r>
          </w:p>
        </w:tc>
        <w:tc>
          <w:tcPr>
            <w:tcW w:w="2126"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0"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羊</w:t>
            </w:r>
          </w:p>
        </w:tc>
        <w:tc>
          <w:tcPr>
            <w:tcW w:w="1417"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1417"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1717"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2126"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0"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禽类</w:t>
            </w:r>
          </w:p>
        </w:tc>
        <w:tc>
          <w:tcPr>
            <w:tcW w:w="1417"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w:t>
            </w:r>
          </w:p>
        </w:tc>
        <w:tc>
          <w:tcPr>
            <w:tcW w:w="1417"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w:t>
            </w:r>
          </w:p>
        </w:tc>
        <w:tc>
          <w:tcPr>
            <w:tcW w:w="1717"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w:t>
            </w:r>
          </w:p>
        </w:tc>
        <w:tc>
          <w:tcPr>
            <w:tcW w:w="2126"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0"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合计</w:t>
            </w:r>
          </w:p>
        </w:tc>
        <w:tc>
          <w:tcPr>
            <w:tcW w:w="1417"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4</w:t>
            </w:r>
          </w:p>
        </w:tc>
        <w:tc>
          <w:tcPr>
            <w:tcW w:w="1417"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5</w:t>
            </w:r>
          </w:p>
        </w:tc>
        <w:tc>
          <w:tcPr>
            <w:tcW w:w="1717"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5</w:t>
            </w:r>
          </w:p>
        </w:tc>
        <w:tc>
          <w:tcPr>
            <w:tcW w:w="2126"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5</w:t>
            </w:r>
          </w:p>
        </w:tc>
      </w:tr>
    </w:tbl>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（2）规模以下畜禽养殖户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经统计，2020年济宁太白湖新区规模以下畜禽养殖户共101家，养殖户粪便利用皆以堆肥方式利用；产生的污水以肥水利用的方式处置。</w:t>
      </w:r>
    </w:p>
    <w:p>
      <w:pPr>
        <w:pStyle w:val="5"/>
        <w:spacing w:before="0" w:after="0" w:line="560" w:lineRule="exact"/>
        <w:jc w:val="left"/>
        <w:rPr>
          <w:rFonts w:ascii="Times New Roman" w:hAnsi="Times New Roman" w:eastAsia="方正仿宋简体"/>
          <w:b w:val="0"/>
          <w:color w:val="000000" w:themeColor="text1"/>
          <w:sz w:val="32"/>
          <w:szCs w:val="32"/>
          <w14:textFill>
            <w14:solidFill>
              <w14:schemeClr w14:val="tx1"/>
            </w14:solidFill>
          </w14:textFill>
        </w:rPr>
      </w:pPr>
      <w:r>
        <w:rPr>
          <w:rFonts w:ascii="Times New Roman" w:hAnsi="Times New Roman" w:eastAsia="方正仿宋简体"/>
          <w:b w:val="0"/>
          <w:color w:val="000000" w:themeColor="text1"/>
          <w:sz w:val="32"/>
          <w:szCs w:val="32"/>
          <w14:textFill>
            <w14:solidFill>
              <w14:schemeClr w14:val="tx1"/>
            </w14:solidFill>
          </w14:textFill>
        </w:rPr>
        <w:t>2.4.2.2畜禽养殖固体废物处理现状</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（1）清粪方式</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畜禽养殖圈舍的主要清粪方式：一是水冲式清粪，即将粪便、尿连同冲洗水一起排出，污水中带入较多的粪便，此种方式污水中有机物浓度偏高；二是干清粪，即采用人工或者机械收集粪便的方法，此种方式污水中有机污染物浓度相对较低。现阶段，济宁太白湖新区规模养殖场和养殖户大部分均采用干清粪方式清粪。</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（2）固体废弃物处理情况</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固体废物主要是干清粪方式产生的猪粪、鸡粪、牛羊粪、病死畜禽等。粪便处理畜禽粪便是良好的有机肥料，对其进行综合利用将变废为宝，随地抛弃，不但产生臭气，污染大气环境，而且将影响卫生环境和污染水体、传染疾病。对猪场固体废物，需要加强管理和及时处理，使其不会对环境产生影响。</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①</w:t>
      </w:r>
      <w:r>
        <w:rPr>
          <w:rFonts w:ascii="Times New Roman" w:hAnsi="Times New Roman" w:eastAsia="方正仿宋简体"/>
          <w:color w:val="000000" w:themeColor="text1"/>
          <w:sz w:val="32"/>
          <w:szCs w:val="32"/>
          <w14:textFill>
            <w14:solidFill>
              <w14:schemeClr w14:val="tx1"/>
            </w14:solidFill>
          </w14:textFill>
        </w:rPr>
        <w:t>畜禽养殖场干清粪产生的粪便存放于粪棚，自行发酵处理，制成堆肥，用于种植基地。</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②</w:t>
      </w:r>
      <w:r>
        <w:rPr>
          <w:rFonts w:ascii="Times New Roman" w:hAnsi="Times New Roman" w:eastAsia="方正仿宋简体"/>
          <w:color w:val="000000" w:themeColor="text1"/>
          <w:sz w:val="32"/>
          <w:szCs w:val="32"/>
          <w14:textFill>
            <w14:solidFill>
              <w14:schemeClr w14:val="tx1"/>
            </w14:solidFill>
          </w14:textFill>
        </w:rPr>
        <w:t>少部分农民养殖户未对粪便进行无害化处理就直接回用于农田。这些粪便含有大量的有害病菌，一旦进入环境，不仅会直接威胁畜禽自身的生存，还甚至会危害人体健康。进入土壤，会改变土壤成分，破坏土壤的基本功能，从而对农作物生长产生不利影响。</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（3）病死畜禽尸体处置情况</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国家危险废物名录》（2021）或者根据危险废物鉴别标准，危险废物是“急性毒性、易燃性、反应性、腐蚀性和浸出毒性的固体、液体或装有气体的废物”。因此，各养殖场户的病死尸体是属于危险废物中为防治动物传染病而需要收集和处置的废物，危险废物类别为 HW01 医疗废物，废物代码 900-001-01。</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病死动物尸体是重要的传染病污染源，对环境和人体健康以及动物饲养场本身的正常生产经营有严重的危害，决不允许随地抛弃。病死动物应立即从饲养场用专用运输车辆运出，并作为危险废物进行无害化处理。目前太白湖新区病死动物全部由济宁资生源动物无害化处理有限公司采取高温化制方式进行无害化处理。。</w:t>
      </w:r>
    </w:p>
    <w:p>
      <w:pPr>
        <w:pStyle w:val="5"/>
        <w:spacing w:before="0" w:after="0" w:line="560" w:lineRule="exact"/>
        <w:jc w:val="left"/>
        <w:rPr>
          <w:rFonts w:ascii="Times New Roman" w:hAnsi="Times New Roman" w:eastAsia="方正仿宋简体"/>
          <w:b w:val="0"/>
          <w:bCs w:val="0"/>
          <w:color w:val="000000" w:themeColor="text1"/>
          <w:sz w:val="32"/>
          <w:szCs w:val="32"/>
          <w14:textFill>
            <w14:solidFill>
              <w14:schemeClr w14:val="tx1"/>
            </w14:solidFill>
          </w14:textFill>
        </w:rPr>
      </w:pPr>
      <w:r>
        <w:rPr>
          <w:rFonts w:ascii="Times New Roman" w:hAnsi="Times New Roman" w:eastAsia="方正仿宋简体"/>
          <w:b w:val="0"/>
          <w:bCs w:val="0"/>
          <w:color w:val="000000" w:themeColor="text1"/>
          <w:sz w:val="32"/>
          <w:szCs w:val="32"/>
          <w14:textFill>
            <w14:solidFill>
              <w14:schemeClr w14:val="tx1"/>
            </w14:solidFill>
          </w14:textFill>
        </w:rPr>
        <w:t>2.4.2.3畜禽养殖废气处理情况</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（1）废气污染源</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废气污染源主要是恶臭。养殖场恶臭来自粪便、污水、垫料、饲料等腐败分解，新鲜粪便、消化道排出的气体，皮脂腺和汗腺的分泌物，粘附在体表的污物等。恶臭的成分十分复杂，因清粪方式、粪便和污水处理等不同而异，有机成分主要包括挥发性脂肪酸、酚类化合物，吲哚三大类有机物质，还包括氨气、硫化氢、甲烷、二氧化碳等无机成分。其中对环境危害最大的恶臭物质是NH</w:t>
      </w:r>
      <w:r>
        <w:rPr>
          <w:rFonts w:ascii="Times New Roman" w:hAnsi="Times New Roman" w:eastAsia="方正仿宋简体"/>
          <w:color w:val="000000" w:themeColor="text1"/>
          <w:sz w:val="32"/>
          <w:szCs w:val="32"/>
          <w:vertAlign w:val="subscript"/>
          <w14:textFill>
            <w14:solidFill>
              <w14:schemeClr w14:val="tx1"/>
            </w14:solidFill>
          </w14:textFill>
        </w:rPr>
        <w:t>3</w:t>
      </w:r>
      <w:r>
        <w:rPr>
          <w:rFonts w:ascii="Times New Roman" w:hAnsi="Times New Roman" w:eastAsia="方正仿宋简体"/>
          <w:color w:val="000000" w:themeColor="text1"/>
          <w:sz w:val="32"/>
          <w:szCs w:val="32"/>
          <w14:textFill>
            <w14:solidFill>
              <w14:schemeClr w14:val="tx1"/>
            </w14:solidFill>
          </w14:textFill>
        </w:rPr>
        <w:t>和H</w:t>
      </w:r>
      <w:r>
        <w:rPr>
          <w:rFonts w:ascii="Times New Roman" w:hAnsi="Times New Roman" w:eastAsia="方正仿宋简体"/>
          <w:color w:val="000000" w:themeColor="text1"/>
          <w:sz w:val="32"/>
          <w:szCs w:val="32"/>
          <w:vertAlign w:val="subscript"/>
          <w14:textFill>
            <w14:solidFill>
              <w14:schemeClr w14:val="tx1"/>
            </w14:solidFill>
          </w14:textFill>
        </w:rPr>
        <w:t>2</w:t>
      </w:r>
      <w:r>
        <w:rPr>
          <w:rFonts w:ascii="Times New Roman" w:hAnsi="Times New Roman" w:eastAsia="方正仿宋简体"/>
          <w:color w:val="000000" w:themeColor="text1"/>
          <w:sz w:val="32"/>
          <w:szCs w:val="32"/>
          <w14:textFill>
            <w14:solidFill>
              <w14:schemeClr w14:val="tx1"/>
            </w14:solidFill>
          </w14:textFill>
        </w:rPr>
        <w:t>S。</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经调查，大部分养殖场以加强管理、圈舍铺设水泥地面、粪便及时清理干净等方式限制臭气产生。部分养殖户设施简陋、粪便清运不及时、粪便以露天堆放为主，基本无除臭措施，养殖期间产生的臭气会对周边居民及环境造成一定影响。</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（2）粉尘</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各畜种在不同的生长阶段需要不同的营养物质，为保证其正常生长，需要对饲养日粮进行调配。在饲料生产过程中会产生饲料粉尘。这些粉尘会对人体的呼吸系统产生危害，特别是在大风的情况下，其影响范围更远。</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部分养殖场设置有饲料拌合设施，并采取相应的封闭处理，控制粉尘产生和扩散，但大部分养殖户、散养户则以露天拌合为主，无相应的防治措施。</w:t>
      </w:r>
    </w:p>
    <w:p>
      <w:pPr>
        <w:pStyle w:val="5"/>
        <w:spacing w:before="0" w:after="0" w:line="560" w:lineRule="exact"/>
        <w:jc w:val="left"/>
        <w:rPr>
          <w:rFonts w:ascii="Times New Roman" w:hAnsi="Times New Roman" w:eastAsia="方正仿宋简体"/>
          <w:b w:val="0"/>
          <w:bCs w:val="0"/>
          <w:color w:val="000000" w:themeColor="text1"/>
          <w:sz w:val="32"/>
          <w:szCs w:val="32"/>
          <w14:textFill>
            <w14:solidFill>
              <w14:schemeClr w14:val="tx1"/>
            </w14:solidFill>
          </w14:textFill>
        </w:rPr>
      </w:pPr>
      <w:r>
        <w:rPr>
          <w:rFonts w:ascii="Times New Roman" w:hAnsi="Times New Roman" w:eastAsia="方正仿宋简体"/>
          <w:b w:val="0"/>
          <w:bCs w:val="0"/>
          <w:color w:val="000000" w:themeColor="text1"/>
          <w:sz w:val="32"/>
          <w:szCs w:val="32"/>
          <w14:textFill>
            <w14:solidFill>
              <w14:schemeClr w14:val="tx1"/>
            </w14:solidFill>
          </w14:textFill>
        </w:rPr>
        <w:t>2.4.2.4禁养区划定</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kern w:val="0"/>
          <w:sz w:val="32"/>
          <w:szCs w:val="32"/>
          <w14:textFill>
            <w14:solidFill>
              <w14:schemeClr w14:val="tx1"/>
            </w14:solidFill>
          </w14:textFill>
        </w:rPr>
        <w:t>为加强济宁太白湖新区畜禽养殖污染防治，进一步规范畜禽养殖环境管理，合理布局畜禽养殖场所空间和结构、保护生态环境、促进畜禽养殖业与环境保护协调发展。根据《中华人民共和国环境保护法》《中华人民共和国农业法》和《中华人民共和国畜牧法》等相关法律法规规定。</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结合济宁太白湖新区实际情况，济宁太白湖新区管理委员会于  2019年 11月 11 日印发了《关于印发太白湖新区畜禽养殖禁养区优化方案的通知》（济太管办字〔2019〕号），该方案明确指出：以优化畜禽养殖产业布局、控制农业面源污染、保障生态环境安全为目的，科学合理划定禁养区范围，切实加强环境监管，促进环境保护和畜牧业协调发展为划定原则。</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畜禽养殖禁养区范围：</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1.饮用水水源地一级保护区</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太白湖新区水源地一级保护区以36处农村集中式饮用水水源地一级保护区（以取水井为中心，半径为30m圆形区域为一级保护区）纳入禁养区范围。</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2.城镇居民区</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城市建成区（东至</w:t>
      </w:r>
      <w:r>
        <w:rPr>
          <w:rFonts w:ascii="Times New Roman" w:hAnsi="Times New Roman"/>
          <w:color w:val="000000" w:themeColor="text1"/>
          <w:sz w:val="32"/>
          <w:szCs w:val="32"/>
          <w14:textFill>
            <w14:solidFill>
              <w14:schemeClr w14:val="tx1"/>
            </w14:solidFill>
          </w14:textFill>
        </w:rPr>
        <w:t>洸</w:t>
      </w:r>
      <w:r>
        <w:rPr>
          <w:rFonts w:ascii="Times New Roman" w:hAnsi="Times New Roman" w:eastAsia="方正仿宋简体"/>
          <w:color w:val="000000" w:themeColor="text1"/>
          <w:sz w:val="32"/>
          <w:szCs w:val="32"/>
          <w14:textFill>
            <w14:solidFill>
              <w14:schemeClr w14:val="tx1"/>
            </w14:solidFill>
          </w14:textFill>
        </w:rPr>
        <w:t>府河东堤西至京杭运河东堤，南至临荷路，北至与任城区南苑街道办事处、任城区观音阁街道办事处交界处）纳入禁养区；</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3.石桥镇驻地居民区：仅指石桥镇人民政府驻地建成区纳入禁养区。</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4.文化教育科学研究区</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辖区内所有学校区域纳入禁养区。</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5.法律法规规定的其它禁止建设养殖场的区域：太白湖新区内南水北调工程沿线区域核心保护区（输水主干线大堤或者设计洪水位淹没线以内区域）。</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6.南四湖自然保护区</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辖区内南四湖自然保护区核心区、缓冲区。</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《太白湖新区畜禽养殖禁养区优化方案》划定范围包括济宁太白湖新区2个镇街，总划定禁养区面积共53.21km</w:t>
      </w:r>
      <w:r>
        <w:rPr>
          <w:rFonts w:ascii="Times New Roman" w:hAnsi="Times New Roman" w:eastAsia="方正仿宋简体"/>
          <w:color w:val="000000" w:themeColor="text1"/>
          <w:sz w:val="32"/>
          <w:szCs w:val="32"/>
          <w:vertAlign w:val="superscript"/>
          <w14:textFill>
            <w14:solidFill>
              <w14:schemeClr w14:val="tx1"/>
            </w14:solidFill>
          </w14:textFill>
        </w:rPr>
        <w:t>2</w:t>
      </w:r>
      <w:r>
        <w:rPr>
          <w:rFonts w:ascii="Times New Roman" w:hAnsi="Times New Roman" w:eastAsia="方正仿宋简体"/>
          <w:color w:val="000000" w:themeColor="text1"/>
          <w:sz w:val="32"/>
          <w:szCs w:val="32"/>
          <w14:textFill>
            <w14:solidFill>
              <w14:schemeClr w14:val="tx1"/>
            </w14:solidFill>
          </w14:textFill>
        </w:rPr>
        <w:t>。济宁太白湖新区禁养区划定范围情况见表2.4-5。</w:t>
      </w:r>
    </w:p>
    <w:p>
      <w:pPr>
        <w:spacing w:line="560" w:lineRule="exact"/>
        <w:jc w:val="center"/>
        <w:rPr>
          <w:rFonts w:ascii="Times New Roman" w:hAnsi="Times New Roman" w:eastAsia="方正仿宋简体"/>
          <w:b/>
          <w:color w:val="000000" w:themeColor="text1"/>
          <w:kern w:val="0"/>
          <w:sz w:val="32"/>
          <w:szCs w:val="32"/>
          <w14:textFill>
            <w14:solidFill>
              <w14:schemeClr w14:val="tx1"/>
            </w14:solidFill>
          </w14:textFill>
        </w:rPr>
      </w:pPr>
      <w:r>
        <w:rPr>
          <w:rFonts w:ascii="Times New Roman" w:hAnsi="Times New Roman" w:eastAsia="方正仿宋简体"/>
          <w:b/>
          <w:color w:val="000000" w:themeColor="text1"/>
          <w:kern w:val="0"/>
          <w:sz w:val="32"/>
          <w:szCs w:val="32"/>
          <w14:textFill>
            <w14:solidFill>
              <w14:schemeClr w14:val="tx1"/>
            </w14:solidFill>
          </w14:textFill>
        </w:rPr>
        <w:t>表2.4-5 济宁太白湖新区禁养区统计表</w:t>
      </w:r>
    </w:p>
    <w:tbl>
      <w:tblPr>
        <w:tblStyle w:val="27"/>
        <w:tblW w:w="8614" w:type="dxa"/>
        <w:jc w:val="center"/>
        <w:tblLayout w:type="fixed"/>
        <w:tblCellMar>
          <w:top w:w="0" w:type="dxa"/>
          <w:left w:w="0" w:type="dxa"/>
          <w:bottom w:w="0" w:type="dxa"/>
          <w:right w:w="0" w:type="dxa"/>
        </w:tblCellMar>
      </w:tblPr>
      <w:tblGrid>
        <w:gridCol w:w="546"/>
        <w:gridCol w:w="2343"/>
        <w:gridCol w:w="3264"/>
        <w:gridCol w:w="1800"/>
        <w:gridCol w:w="661"/>
      </w:tblGrid>
      <w:tr>
        <w:tblPrEx>
          <w:tblCellMar>
            <w:top w:w="0" w:type="dxa"/>
            <w:left w:w="0" w:type="dxa"/>
            <w:bottom w:w="0" w:type="dxa"/>
            <w:right w:w="0" w:type="dxa"/>
          </w:tblCellMar>
        </w:tblPrEx>
        <w:trPr>
          <w:trHeight w:val="405" w:hRule="atLeast"/>
          <w:jc w:val="center"/>
        </w:trPr>
        <w:tc>
          <w:tcPr>
            <w:tcW w:w="5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jc w:val="center"/>
              <w:textAlignment w:val="center"/>
              <w:rPr>
                <w:rFonts w:ascii="Times New Roman" w:hAnsi="Times New Roman" w:eastAsia="方正仿宋简体"/>
                <w:b/>
                <w:color w:val="000000"/>
                <w:sz w:val="28"/>
                <w:szCs w:val="28"/>
              </w:rPr>
            </w:pPr>
            <w:r>
              <w:rPr>
                <w:rFonts w:ascii="Times New Roman" w:hAnsi="Times New Roman" w:eastAsia="方正仿宋简体"/>
                <w:b/>
                <w:color w:val="000000"/>
                <w:sz w:val="28"/>
                <w:szCs w:val="28"/>
                <w:lang w:bidi="ar"/>
              </w:rPr>
              <w:t>序号</w:t>
            </w:r>
          </w:p>
        </w:tc>
        <w:tc>
          <w:tcPr>
            <w:tcW w:w="23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jc w:val="center"/>
              <w:textAlignment w:val="center"/>
              <w:rPr>
                <w:rFonts w:ascii="Times New Roman" w:hAnsi="Times New Roman" w:eastAsia="方正仿宋简体"/>
                <w:b/>
                <w:color w:val="000000"/>
                <w:sz w:val="28"/>
                <w:szCs w:val="28"/>
              </w:rPr>
            </w:pPr>
            <w:r>
              <w:rPr>
                <w:rFonts w:ascii="Times New Roman" w:hAnsi="Times New Roman" w:eastAsia="方正仿宋简体"/>
                <w:b/>
                <w:color w:val="000000"/>
                <w:sz w:val="28"/>
                <w:szCs w:val="28"/>
              </w:rPr>
              <w:t>禁养区名称</w:t>
            </w:r>
          </w:p>
        </w:tc>
        <w:tc>
          <w:tcPr>
            <w:tcW w:w="3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jc w:val="center"/>
              <w:textAlignment w:val="center"/>
              <w:rPr>
                <w:rFonts w:ascii="Times New Roman" w:hAnsi="Times New Roman" w:eastAsia="方正仿宋简体"/>
                <w:b/>
                <w:color w:val="000000"/>
                <w:sz w:val="28"/>
                <w:szCs w:val="28"/>
              </w:rPr>
            </w:pPr>
            <w:r>
              <w:rPr>
                <w:rFonts w:ascii="Times New Roman" w:hAnsi="Times New Roman" w:eastAsia="方正仿宋简体"/>
                <w:b/>
                <w:color w:val="000000"/>
                <w:sz w:val="28"/>
                <w:szCs w:val="28"/>
              </w:rPr>
              <w:t>禁养区范围</w:t>
            </w:r>
          </w:p>
        </w:tc>
        <w:tc>
          <w:tcPr>
            <w:tcW w:w="1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jc w:val="center"/>
              <w:textAlignment w:val="center"/>
              <w:rPr>
                <w:rFonts w:ascii="Times New Roman" w:hAnsi="Times New Roman" w:eastAsia="方正仿宋简体"/>
                <w:b/>
                <w:color w:val="000000"/>
                <w:sz w:val="28"/>
                <w:szCs w:val="28"/>
              </w:rPr>
            </w:pPr>
            <w:r>
              <w:rPr>
                <w:rFonts w:ascii="Times New Roman" w:hAnsi="Times New Roman" w:eastAsia="方正仿宋简体"/>
                <w:b/>
                <w:color w:val="000000"/>
                <w:sz w:val="28"/>
                <w:szCs w:val="28"/>
              </w:rPr>
              <w:t>禁养区面积</w:t>
            </w:r>
          </w:p>
          <w:p>
            <w:pPr>
              <w:snapToGrid w:val="0"/>
              <w:jc w:val="center"/>
              <w:textAlignment w:val="center"/>
              <w:rPr>
                <w:rFonts w:ascii="Times New Roman" w:hAnsi="Times New Roman" w:eastAsia="方正仿宋简体"/>
                <w:b/>
                <w:color w:val="000000"/>
                <w:sz w:val="28"/>
                <w:szCs w:val="28"/>
              </w:rPr>
            </w:pPr>
            <w:r>
              <w:rPr>
                <w:rFonts w:ascii="Times New Roman" w:hAnsi="Times New Roman" w:eastAsia="方正仿宋简体"/>
                <w:b/>
                <w:color w:val="000000"/>
                <w:sz w:val="28"/>
                <w:szCs w:val="28"/>
              </w:rPr>
              <w:t>(平方公里）</w:t>
            </w:r>
          </w:p>
        </w:tc>
        <w:tc>
          <w:tcPr>
            <w:tcW w:w="6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napToGrid w:val="0"/>
              <w:jc w:val="center"/>
              <w:textAlignment w:val="center"/>
              <w:rPr>
                <w:rFonts w:ascii="Times New Roman" w:hAnsi="Times New Roman" w:eastAsia="方正仿宋简体"/>
                <w:b/>
                <w:color w:val="000000"/>
                <w:sz w:val="28"/>
                <w:szCs w:val="28"/>
              </w:rPr>
            </w:pPr>
            <w:r>
              <w:rPr>
                <w:rFonts w:ascii="Times New Roman" w:hAnsi="Times New Roman" w:eastAsia="方正仿宋简体"/>
                <w:b/>
                <w:color w:val="000000"/>
                <w:sz w:val="28"/>
                <w:szCs w:val="28"/>
              </w:rPr>
              <w:t>备注</w:t>
            </w:r>
          </w:p>
        </w:tc>
      </w:tr>
      <w:tr>
        <w:tblPrEx>
          <w:tblCellMar>
            <w:top w:w="0" w:type="dxa"/>
            <w:left w:w="0" w:type="dxa"/>
            <w:bottom w:w="0" w:type="dxa"/>
            <w:right w:w="0" w:type="dxa"/>
          </w:tblCellMar>
        </w:tblPrEx>
        <w:trPr>
          <w:trHeight w:val="680" w:hRule="atLeast"/>
          <w:jc w:val="center"/>
        </w:trPr>
        <w:tc>
          <w:tcPr>
            <w:tcW w:w="5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w:t>
            </w:r>
          </w:p>
        </w:tc>
        <w:tc>
          <w:tcPr>
            <w:tcW w:w="23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太白湖新区36处农村饮用水水源地</w:t>
            </w:r>
          </w:p>
        </w:tc>
        <w:tc>
          <w:tcPr>
            <w:tcW w:w="3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太白湖新区36处农村饮用水水源地保护区（以取水井为中心，半径为30m圆方型区域为一级保护区，不设二级保护区)</w:t>
            </w:r>
          </w:p>
        </w:tc>
        <w:tc>
          <w:tcPr>
            <w:tcW w:w="1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0.102</w:t>
            </w:r>
          </w:p>
        </w:tc>
        <w:tc>
          <w:tcPr>
            <w:tcW w:w="6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5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w:t>
            </w:r>
          </w:p>
        </w:tc>
        <w:tc>
          <w:tcPr>
            <w:tcW w:w="23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太白湖新区境内南水北调工程沿线核心保护区</w:t>
            </w:r>
          </w:p>
        </w:tc>
        <w:tc>
          <w:tcPr>
            <w:tcW w:w="3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京杭运河太白湖新区区域内河道及两侧河堤内</w:t>
            </w:r>
          </w:p>
        </w:tc>
        <w:tc>
          <w:tcPr>
            <w:tcW w:w="1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5</w:t>
            </w:r>
          </w:p>
        </w:tc>
        <w:tc>
          <w:tcPr>
            <w:tcW w:w="6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5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3</w:t>
            </w:r>
          </w:p>
        </w:tc>
        <w:tc>
          <w:tcPr>
            <w:tcW w:w="23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太白湖新区城市建成区</w:t>
            </w:r>
          </w:p>
        </w:tc>
        <w:tc>
          <w:tcPr>
            <w:tcW w:w="3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东至</w:t>
            </w:r>
            <w:r>
              <w:rPr>
                <w:rFonts w:ascii="Times New Roman" w:hAnsi="Times New Roman"/>
                <w:color w:val="000000" w:themeColor="text1"/>
                <w:kern w:val="0"/>
                <w:sz w:val="28"/>
                <w:szCs w:val="28"/>
                <w14:textFill>
                  <w14:solidFill>
                    <w14:schemeClr w14:val="tx1"/>
                  </w14:solidFill>
                </w14:textFill>
              </w:rPr>
              <w:t>洸</w:t>
            </w:r>
            <w:r>
              <w:rPr>
                <w:rFonts w:ascii="Times New Roman" w:hAnsi="Times New Roman" w:eastAsia="方正仿宋简体"/>
                <w:color w:val="000000" w:themeColor="text1"/>
                <w:kern w:val="0"/>
                <w:sz w:val="28"/>
                <w:szCs w:val="28"/>
                <w14:textFill>
                  <w14:solidFill>
                    <w14:schemeClr w14:val="tx1"/>
                  </w14:solidFill>
                </w14:textFill>
              </w:rPr>
              <w:t>府河东堤西至京杭运河西堤，南至临荷路，北至与任城区南苑街道办事处、任城区观音阁街道办事处交界处</w:t>
            </w:r>
          </w:p>
        </w:tc>
        <w:tc>
          <w:tcPr>
            <w:tcW w:w="1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36.59</w:t>
            </w:r>
          </w:p>
        </w:tc>
        <w:tc>
          <w:tcPr>
            <w:tcW w:w="6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5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4</w:t>
            </w:r>
          </w:p>
        </w:tc>
        <w:tc>
          <w:tcPr>
            <w:tcW w:w="23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石桥镇政府驻地居民区</w:t>
            </w:r>
          </w:p>
        </w:tc>
        <w:tc>
          <w:tcPr>
            <w:tcW w:w="3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石桥镇政府驻地建成区</w:t>
            </w:r>
          </w:p>
        </w:tc>
        <w:tc>
          <w:tcPr>
            <w:tcW w:w="1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0.62</w:t>
            </w:r>
          </w:p>
        </w:tc>
        <w:tc>
          <w:tcPr>
            <w:tcW w:w="6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5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5</w:t>
            </w:r>
          </w:p>
        </w:tc>
        <w:tc>
          <w:tcPr>
            <w:tcW w:w="23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区域内所有学校区域</w:t>
            </w:r>
          </w:p>
        </w:tc>
        <w:tc>
          <w:tcPr>
            <w:tcW w:w="3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区域内所有学校区域</w:t>
            </w:r>
          </w:p>
        </w:tc>
        <w:tc>
          <w:tcPr>
            <w:tcW w:w="1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0.1</w:t>
            </w:r>
          </w:p>
        </w:tc>
        <w:tc>
          <w:tcPr>
            <w:tcW w:w="6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5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6</w:t>
            </w:r>
          </w:p>
        </w:tc>
        <w:tc>
          <w:tcPr>
            <w:tcW w:w="23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南四湖自然保护区</w:t>
            </w:r>
          </w:p>
        </w:tc>
        <w:tc>
          <w:tcPr>
            <w:tcW w:w="3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辖区内南四湖自然保护区核心区、缓冲区</w:t>
            </w:r>
          </w:p>
        </w:tc>
        <w:tc>
          <w:tcPr>
            <w:tcW w:w="1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10.8</w:t>
            </w:r>
          </w:p>
        </w:tc>
        <w:tc>
          <w:tcPr>
            <w:tcW w:w="6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r>
      <w:tr>
        <w:tblPrEx>
          <w:tblCellMar>
            <w:top w:w="0" w:type="dxa"/>
            <w:left w:w="0" w:type="dxa"/>
            <w:bottom w:w="0" w:type="dxa"/>
            <w:right w:w="0" w:type="dxa"/>
          </w:tblCellMar>
        </w:tblPrEx>
        <w:trPr>
          <w:trHeight w:val="680" w:hRule="atLeast"/>
          <w:jc w:val="center"/>
        </w:trPr>
        <w:tc>
          <w:tcPr>
            <w:tcW w:w="5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合计</w:t>
            </w:r>
          </w:p>
        </w:tc>
        <w:tc>
          <w:tcPr>
            <w:tcW w:w="23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3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53.21</w:t>
            </w:r>
          </w:p>
        </w:tc>
        <w:tc>
          <w:tcPr>
            <w:tcW w:w="6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r>
    </w:tbl>
    <w:p>
      <w:pPr>
        <w:spacing w:line="560" w:lineRule="exact"/>
        <w:ind w:firstLine="640" w:firstLineChars="200"/>
        <w:jc w:val="left"/>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济宁太白湖新区禁养区分布图见图2.4-4。</w:t>
      </w:r>
    </w:p>
    <w:p>
      <w:pPr>
        <w:spacing w:line="560" w:lineRule="exact"/>
        <w:ind w:firstLine="640" w:firstLineChars="200"/>
        <w:jc w:val="center"/>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jc w:val="center"/>
        <w:rPr>
          <w:rFonts w:ascii="Times New Roman" w:hAnsi="Times New Roman" w:eastAsia="方正仿宋简体"/>
          <w:color w:val="000000" w:themeColor="text1"/>
          <w:sz w:val="32"/>
          <w:szCs w:val="32"/>
          <w14:textFill>
            <w14:solidFill>
              <w14:schemeClr w14:val="tx1"/>
            </w14:solidFill>
          </w14:textFill>
        </w:rPr>
        <w:sectPr>
          <w:pgSz w:w="11906" w:h="16838"/>
          <w:pgMar w:top="2098" w:right="1588" w:bottom="2098" w:left="1588" w:header="851" w:footer="992" w:gutter="0"/>
          <w:cols w:space="425" w:num="1"/>
          <w:docGrid w:type="lines" w:linePitch="326" w:charSpace="0"/>
        </w:sectPr>
      </w:pPr>
    </w:p>
    <w:p>
      <w:pPr>
        <w:jc w:val="center"/>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sz w:val="32"/>
          <w:szCs w:val="32"/>
        </w:rPr>
        <w:drawing>
          <wp:inline distT="0" distB="0" distL="0" distR="0">
            <wp:extent cx="4782820" cy="6759575"/>
            <wp:effectExtent l="2222" t="0" r="953" b="952"/>
            <wp:docPr id="15" name="图片 15" descr="禁养区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禁养区范围图"/>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rot="5400000">
                      <a:off x="0" y="0"/>
                      <a:ext cx="4788423" cy="6767431"/>
                    </a:xfrm>
                    <a:prstGeom prst="rect">
                      <a:avLst/>
                    </a:prstGeom>
                    <a:noFill/>
                    <a:ln>
                      <a:noFill/>
                    </a:ln>
                  </pic:spPr>
                </pic:pic>
              </a:graphicData>
            </a:graphic>
          </wp:inline>
        </w:drawing>
      </w:r>
    </w:p>
    <w:p>
      <w:pPr>
        <w:spacing w:line="560" w:lineRule="exact"/>
        <w:jc w:val="center"/>
        <w:rPr>
          <w:rFonts w:ascii="Times New Roman" w:hAnsi="Times New Roman" w:eastAsia="方正仿宋简体"/>
          <w:b/>
          <w:color w:val="000000" w:themeColor="text1"/>
          <w:kern w:val="0"/>
          <w:sz w:val="32"/>
          <w:szCs w:val="32"/>
          <w14:textFill>
            <w14:solidFill>
              <w14:schemeClr w14:val="tx1"/>
            </w14:solidFill>
          </w14:textFill>
        </w:rPr>
        <w:sectPr>
          <w:pgSz w:w="16838" w:h="11906" w:orient="landscape"/>
          <w:pgMar w:top="1276" w:right="1440" w:bottom="1560" w:left="1440" w:header="851" w:footer="992" w:gutter="0"/>
          <w:cols w:space="425" w:num="1"/>
          <w:docGrid w:type="lines" w:linePitch="326" w:charSpace="0"/>
        </w:sectPr>
      </w:pPr>
      <w:r>
        <w:rPr>
          <w:rFonts w:ascii="Times New Roman" w:hAnsi="Times New Roman" w:eastAsia="方正仿宋简体"/>
          <w:b/>
          <w:color w:val="000000" w:themeColor="text1"/>
          <w:kern w:val="0"/>
          <w:sz w:val="32"/>
          <w:szCs w:val="32"/>
          <w14:textFill>
            <w14:solidFill>
              <w14:schemeClr w14:val="tx1"/>
            </w14:solidFill>
          </w14:textFill>
        </w:rPr>
        <w:t>图2.4-4 济宁太白湖新区禁养区、限养区划定分布图</w:t>
      </w:r>
    </w:p>
    <w:p>
      <w:pPr>
        <w:pStyle w:val="5"/>
        <w:spacing w:before="0" w:after="0" w:line="560" w:lineRule="exact"/>
        <w:jc w:val="left"/>
        <w:rPr>
          <w:rFonts w:ascii="Times New Roman" w:hAnsi="Times New Roman" w:eastAsia="方正仿宋简体"/>
          <w:b w:val="0"/>
          <w:bCs w:val="0"/>
          <w:color w:val="000000" w:themeColor="text1"/>
          <w:sz w:val="32"/>
          <w:szCs w:val="32"/>
          <w14:textFill>
            <w14:solidFill>
              <w14:schemeClr w14:val="tx1"/>
            </w14:solidFill>
          </w14:textFill>
        </w:rPr>
      </w:pPr>
      <w:r>
        <w:rPr>
          <w:rFonts w:ascii="Times New Roman" w:hAnsi="Times New Roman" w:eastAsia="方正仿宋简体"/>
          <w:b w:val="0"/>
          <w:bCs w:val="0"/>
          <w:color w:val="000000" w:themeColor="text1"/>
          <w:sz w:val="32"/>
          <w:szCs w:val="32"/>
          <w14:textFill>
            <w14:solidFill>
              <w14:schemeClr w14:val="tx1"/>
            </w14:solidFill>
          </w14:textFill>
        </w:rPr>
        <w:t>2.4.2.5畜禽养殖粪污产生及污染物排放情况</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①</w:t>
      </w:r>
      <w:r>
        <w:rPr>
          <w:rFonts w:ascii="Times New Roman" w:hAnsi="Times New Roman" w:eastAsia="方正仿宋简体"/>
          <w:color w:val="000000" w:themeColor="text1"/>
          <w:sz w:val="32"/>
          <w:szCs w:val="32"/>
          <w14:textFill>
            <w14:solidFill>
              <w14:schemeClr w14:val="tx1"/>
            </w14:solidFill>
          </w14:textFill>
        </w:rPr>
        <w:t>畜禽粪污产生系数</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粪污产生系数参考《农业农村部办公厅关于做好畜禽粪污资源化利用跟踪监测工作的通知》（农办牧〔2018〕28号）畜禽规模养殖场粪污产生量测算参考中华东区数据。</w:t>
      </w:r>
    </w:p>
    <w:p>
      <w:pPr>
        <w:widowControl/>
        <w:spacing w:line="560" w:lineRule="exact"/>
        <w:jc w:val="center"/>
        <w:rPr>
          <w:rFonts w:ascii="Times New Roman" w:hAnsi="Times New Roman" w:eastAsia="方正仿宋简体"/>
          <w:b/>
          <w:bCs/>
          <w:sz w:val="32"/>
          <w:szCs w:val="32"/>
        </w:rPr>
      </w:pPr>
      <w:r>
        <w:rPr>
          <w:rFonts w:ascii="Times New Roman" w:hAnsi="Times New Roman" w:eastAsia="方正仿宋简体"/>
          <w:b/>
          <w:bCs/>
          <w:sz w:val="32"/>
          <w:szCs w:val="32"/>
        </w:rPr>
        <w:t>表2.4-6 畜禽粪便及尿液产生量参数表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2088"/>
        <w:gridCol w:w="2086"/>
        <w:gridCol w:w="2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167" w:type="pct"/>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畜种</w:t>
            </w:r>
          </w:p>
        </w:tc>
        <w:tc>
          <w:tcPr>
            <w:tcW w:w="1167" w:type="pct"/>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粪便产生量（千克/天/头（只、羽））</w:t>
            </w:r>
          </w:p>
        </w:tc>
        <w:tc>
          <w:tcPr>
            <w:tcW w:w="1166" w:type="pct"/>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尿液产生量（</w:t>
            </w:r>
            <w:r>
              <w:rPr>
                <w:rFonts w:ascii="Times New Roman" w:hAnsi="Times New Roman" w:eastAsia="方正仿宋简体"/>
                <w:b/>
                <w:bCs/>
                <w:kern w:val="0"/>
                <w:sz w:val="28"/>
                <w:lang w:bidi="ar"/>
              </w:rPr>
              <w:t>千克/天/头（只、羽）</w:t>
            </w:r>
            <w:r>
              <w:rPr>
                <w:rFonts w:ascii="Times New Roman" w:hAnsi="Times New Roman" w:eastAsia="方正仿宋简体"/>
                <w:b/>
                <w:bCs/>
                <w:sz w:val="28"/>
              </w:rPr>
              <w:t>）</w:t>
            </w:r>
          </w:p>
        </w:tc>
        <w:tc>
          <w:tcPr>
            <w:tcW w:w="1497" w:type="pct"/>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饲养周期（天）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16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生猪</w:t>
            </w:r>
          </w:p>
        </w:tc>
        <w:tc>
          <w:tcPr>
            <w:tcW w:w="116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0.93</w:t>
            </w:r>
          </w:p>
        </w:tc>
        <w:tc>
          <w:tcPr>
            <w:tcW w:w="1166"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2.19</w:t>
            </w:r>
          </w:p>
        </w:tc>
        <w:tc>
          <w:tcPr>
            <w:tcW w:w="149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16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种猪</w:t>
            </w:r>
          </w:p>
        </w:tc>
        <w:tc>
          <w:tcPr>
            <w:tcW w:w="116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3.0</w:t>
            </w:r>
          </w:p>
        </w:tc>
        <w:tc>
          <w:tcPr>
            <w:tcW w:w="1166"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7.60</w:t>
            </w:r>
          </w:p>
        </w:tc>
        <w:tc>
          <w:tcPr>
            <w:tcW w:w="149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奶牛</w:t>
            </w:r>
          </w:p>
        </w:tc>
        <w:tc>
          <w:tcPr>
            <w:tcW w:w="116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25</w:t>
            </w:r>
          </w:p>
        </w:tc>
        <w:tc>
          <w:tcPr>
            <w:tcW w:w="1166"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11.86</w:t>
            </w:r>
          </w:p>
        </w:tc>
        <w:tc>
          <w:tcPr>
            <w:tcW w:w="149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16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肉牛</w:t>
            </w:r>
          </w:p>
        </w:tc>
        <w:tc>
          <w:tcPr>
            <w:tcW w:w="116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14.8</w:t>
            </w:r>
          </w:p>
        </w:tc>
        <w:tc>
          <w:tcPr>
            <w:tcW w:w="1166"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8.91</w:t>
            </w:r>
          </w:p>
        </w:tc>
        <w:tc>
          <w:tcPr>
            <w:tcW w:w="149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16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蛋鸡</w:t>
            </w:r>
          </w:p>
        </w:tc>
        <w:tc>
          <w:tcPr>
            <w:tcW w:w="116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0.11</w:t>
            </w:r>
          </w:p>
        </w:tc>
        <w:tc>
          <w:tcPr>
            <w:tcW w:w="1166"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w:t>
            </w:r>
          </w:p>
        </w:tc>
        <w:tc>
          <w:tcPr>
            <w:tcW w:w="149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16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肉鸡</w:t>
            </w:r>
          </w:p>
        </w:tc>
        <w:tc>
          <w:tcPr>
            <w:tcW w:w="116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0.22</w:t>
            </w:r>
          </w:p>
        </w:tc>
        <w:tc>
          <w:tcPr>
            <w:tcW w:w="1166"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w:t>
            </w:r>
          </w:p>
        </w:tc>
        <w:tc>
          <w:tcPr>
            <w:tcW w:w="149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16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肉羊</w:t>
            </w:r>
          </w:p>
        </w:tc>
        <w:tc>
          <w:tcPr>
            <w:tcW w:w="116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0.69</w:t>
            </w:r>
          </w:p>
        </w:tc>
        <w:tc>
          <w:tcPr>
            <w:tcW w:w="1166"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0.41</w:t>
            </w:r>
          </w:p>
        </w:tc>
        <w:tc>
          <w:tcPr>
            <w:tcW w:w="1497"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365</w:t>
            </w:r>
          </w:p>
        </w:tc>
      </w:tr>
    </w:tbl>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综合考虑不同标准、规范和政策，以及不同畜种的体型大小，在计算畜禽养殖污染物过程中，关于表2.4-6中未列明的畜禽种类粪污排放量限值可将养殖量换算成相应的畜禽品种养殖量后进行核定，根据《排污许可证申请与核发技术规范畜禽养殖行业》（HJ1029-2019），换算比例为：1只鸭折算成1只鸡（蛋鸭折算成蛋鸡，肉鸭折算成肉鸡），1只鹅折算成2只鸡（蛋鹅折算成蛋鸡，肉鹅折算成肉鸡）。</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②</w:t>
      </w:r>
      <w:r>
        <w:rPr>
          <w:rFonts w:ascii="Times New Roman" w:hAnsi="Times New Roman" w:eastAsia="方正仿宋简体"/>
          <w:color w:val="000000" w:themeColor="text1"/>
          <w:sz w:val="32"/>
          <w:szCs w:val="32"/>
          <w14:textFill>
            <w14:solidFill>
              <w14:schemeClr w14:val="tx1"/>
            </w14:solidFill>
          </w14:textFill>
        </w:rPr>
        <w:t>太白湖新区不同类型畜禽粪污产生情况</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通过计算， 2021年太白湖新区不同类型畜禽粪污产生情况见表</w:t>
      </w:r>
      <w:r>
        <w:rPr>
          <w:rFonts w:ascii="Times New Roman" w:hAnsi="Times New Roman" w:eastAsia="方正仿宋简体"/>
          <w:b/>
          <w:bCs/>
          <w:sz w:val="32"/>
          <w:szCs w:val="32"/>
        </w:rPr>
        <w:t>2.4-7</w:t>
      </w:r>
      <w:r>
        <w:rPr>
          <w:rFonts w:ascii="Times New Roman" w:hAnsi="Times New Roman" w:eastAsia="方正仿宋简体"/>
          <w:color w:val="000000" w:themeColor="text1"/>
          <w:sz w:val="32"/>
          <w:szCs w:val="32"/>
          <w14:textFill>
            <w14:solidFill>
              <w14:schemeClr w14:val="tx1"/>
            </w14:solidFill>
          </w14:textFill>
        </w:rPr>
        <w:t>、图</w:t>
      </w:r>
      <w:r>
        <w:rPr>
          <w:rFonts w:ascii="Times New Roman" w:hAnsi="Times New Roman" w:eastAsia="方正仿宋简体"/>
          <w:b/>
          <w:bCs/>
          <w:sz w:val="32"/>
          <w:szCs w:val="32"/>
        </w:rPr>
        <w:t>2.4-5</w:t>
      </w:r>
      <w:r>
        <w:rPr>
          <w:rFonts w:ascii="Times New Roman" w:hAnsi="Times New Roman" w:eastAsia="方正仿宋简体"/>
          <w:color w:val="000000" w:themeColor="text1"/>
          <w:sz w:val="32"/>
          <w:szCs w:val="32"/>
          <w14:textFill>
            <w14:solidFill>
              <w14:schemeClr w14:val="tx1"/>
            </w14:solidFill>
          </w14:textFill>
        </w:rPr>
        <w:t>，分析可知，尿液产生量为27293.33吨/年，其中奶牛尿液产生量最多，占比47.58%；粪便产生量为38183.03吨/年，其中奶牛粪便产生量最多，占比71.69%，肉羊和蛋鸡粪便产生量相对较少。</w:t>
      </w:r>
    </w:p>
    <w:p>
      <w:pPr>
        <w:widowControl/>
        <w:spacing w:line="560" w:lineRule="exact"/>
        <w:jc w:val="center"/>
        <w:rPr>
          <w:rFonts w:ascii="Times New Roman" w:hAnsi="Times New Roman" w:eastAsia="方正仿宋简体"/>
          <w:b/>
          <w:bCs/>
          <w:sz w:val="32"/>
          <w:szCs w:val="32"/>
        </w:rPr>
      </w:pPr>
      <w:r>
        <w:rPr>
          <w:rFonts w:ascii="Times New Roman" w:hAnsi="Times New Roman" w:eastAsia="方正仿宋简体"/>
          <w:b/>
          <w:bCs/>
          <w:sz w:val="32"/>
          <w:szCs w:val="32"/>
        </w:rPr>
        <w:t>表2.4-7 不同类型畜禽粪污产生情况表</w:t>
      </w:r>
    </w:p>
    <w:tbl>
      <w:tblPr>
        <w:tblStyle w:val="27"/>
        <w:tblW w:w="5000" w:type="pct"/>
        <w:tblInd w:w="0" w:type="dxa"/>
        <w:tblLayout w:type="autofit"/>
        <w:tblCellMar>
          <w:top w:w="0" w:type="dxa"/>
          <w:left w:w="108" w:type="dxa"/>
          <w:bottom w:w="0" w:type="dxa"/>
          <w:right w:w="108" w:type="dxa"/>
        </w:tblCellMar>
      </w:tblPr>
      <w:tblGrid>
        <w:gridCol w:w="1334"/>
        <w:gridCol w:w="1335"/>
        <w:gridCol w:w="1607"/>
        <w:gridCol w:w="1607"/>
        <w:gridCol w:w="1458"/>
        <w:gridCol w:w="1605"/>
      </w:tblGrid>
      <w:tr>
        <w:tblPrEx>
          <w:tblCellMar>
            <w:top w:w="0" w:type="dxa"/>
            <w:left w:w="108" w:type="dxa"/>
            <w:bottom w:w="0" w:type="dxa"/>
            <w:right w:w="108" w:type="dxa"/>
          </w:tblCellMar>
        </w:tblPrEx>
        <w:trPr>
          <w:trHeight w:val="1050" w:hRule="atLeast"/>
        </w:trPr>
        <w:tc>
          <w:tcPr>
            <w:tcW w:w="74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养殖</w:t>
            </w:r>
          </w:p>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种类</w:t>
            </w:r>
          </w:p>
        </w:tc>
        <w:tc>
          <w:tcPr>
            <w:tcW w:w="746"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存栏量</w:t>
            </w:r>
            <w:r>
              <w:rPr>
                <w:rFonts w:ascii="Times New Roman" w:hAnsi="Times New Roman" w:eastAsia="方正仿宋简体"/>
                <w:b/>
                <w:bCs/>
                <w:sz w:val="28"/>
                <w:szCs w:val="28"/>
              </w:rPr>
              <w:t>头（只、羽）</w:t>
            </w:r>
          </w:p>
        </w:tc>
        <w:tc>
          <w:tcPr>
            <w:tcW w:w="898"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粪便产生量（t/a）</w:t>
            </w:r>
          </w:p>
        </w:tc>
        <w:tc>
          <w:tcPr>
            <w:tcW w:w="898"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粪便产生占比（%）</w:t>
            </w:r>
          </w:p>
        </w:tc>
        <w:tc>
          <w:tcPr>
            <w:tcW w:w="815"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尿液产生量（t/a）</w:t>
            </w:r>
          </w:p>
        </w:tc>
        <w:tc>
          <w:tcPr>
            <w:tcW w:w="897"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尿液产生占比（%）</w:t>
            </w:r>
          </w:p>
        </w:tc>
      </w:tr>
      <w:tr>
        <w:tblPrEx>
          <w:tblCellMar>
            <w:top w:w="0" w:type="dxa"/>
            <w:left w:w="108" w:type="dxa"/>
            <w:bottom w:w="0" w:type="dxa"/>
            <w:right w:w="108" w:type="dxa"/>
          </w:tblCellMar>
        </w:tblPrEx>
        <w:trPr>
          <w:trHeight w:val="300" w:hRule="atLeast"/>
        </w:trPr>
        <w:tc>
          <w:tcPr>
            <w:tcW w:w="746"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生猪</w:t>
            </w:r>
          </w:p>
        </w:tc>
        <w:tc>
          <w:tcPr>
            <w:tcW w:w="74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15193</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 xml:space="preserve">5086.62 </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13.32%</w:t>
            </w:r>
          </w:p>
        </w:tc>
        <w:tc>
          <w:tcPr>
            <w:tcW w:w="815"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 xml:space="preserve">11978.16 </w:t>
            </w:r>
          </w:p>
        </w:tc>
        <w:tc>
          <w:tcPr>
            <w:tcW w:w="89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43.89%</w:t>
            </w:r>
          </w:p>
        </w:tc>
      </w:tr>
      <w:tr>
        <w:tblPrEx>
          <w:tblCellMar>
            <w:top w:w="0" w:type="dxa"/>
            <w:left w:w="108" w:type="dxa"/>
            <w:bottom w:w="0" w:type="dxa"/>
            <w:right w:w="108" w:type="dxa"/>
          </w:tblCellMar>
        </w:tblPrEx>
        <w:trPr>
          <w:trHeight w:val="300" w:hRule="atLeast"/>
        </w:trPr>
        <w:tc>
          <w:tcPr>
            <w:tcW w:w="746"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种猪</w:t>
            </w:r>
          </w:p>
        </w:tc>
        <w:tc>
          <w:tcPr>
            <w:tcW w:w="74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620</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678.9</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1.78%</w:t>
            </w:r>
          </w:p>
        </w:tc>
        <w:tc>
          <w:tcPr>
            <w:tcW w:w="815"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1719.88</w:t>
            </w:r>
          </w:p>
        </w:tc>
        <w:tc>
          <w:tcPr>
            <w:tcW w:w="89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6.30%</w:t>
            </w:r>
          </w:p>
        </w:tc>
      </w:tr>
      <w:tr>
        <w:tblPrEx>
          <w:tblCellMar>
            <w:top w:w="0" w:type="dxa"/>
            <w:left w:w="108" w:type="dxa"/>
            <w:bottom w:w="0" w:type="dxa"/>
            <w:right w:w="108" w:type="dxa"/>
          </w:tblCellMar>
        </w:tblPrEx>
        <w:trPr>
          <w:trHeight w:val="300" w:hRule="atLeast"/>
        </w:trPr>
        <w:tc>
          <w:tcPr>
            <w:tcW w:w="746"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奶牛</w:t>
            </w:r>
          </w:p>
        </w:tc>
        <w:tc>
          <w:tcPr>
            <w:tcW w:w="74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3000</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27375</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71.69%</w:t>
            </w:r>
          </w:p>
        </w:tc>
        <w:tc>
          <w:tcPr>
            <w:tcW w:w="815"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12986.7</w:t>
            </w:r>
          </w:p>
        </w:tc>
        <w:tc>
          <w:tcPr>
            <w:tcW w:w="89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47.58%</w:t>
            </w:r>
          </w:p>
        </w:tc>
      </w:tr>
      <w:tr>
        <w:tblPrEx>
          <w:tblCellMar>
            <w:top w:w="0" w:type="dxa"/>
            <w:left w:w="108" w:type="dxa"/>
            <w:bottom w:w="0" w:type="dxa"/>
            <w:right w:w="108" w:type="dxa"/>
          </w:tblCellMar>
        </w:tblPrEx>
        <w:trPr>
          <w:trHeight w:val="300" w:hRule="atLeast"/>
        </w:trPr>
        <w:tc>
          <w:tcPr>
            <w:tcW w:w="746"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肉牛</w:t>
            </w:r>
          </w:p>
        </w:tc>
        <w:tc>
          <w:tcPr>
            <w:tcW w:w="74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150</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810.3</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2.12%</w:t>
            </w:r>
          </w:p>
        </w:tc>
        <w:tc>
          <w:tcPr>
            <w:tcW w:w="815"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 xml:space="preserve">487.82 </w:t>
            </w:r>
          </w:p>
        </w:tc>
        <w:tc>
          <w:tcPr>
            <w:tcW w:w="89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1.79%</w:t>
            </w:r>
          </w:p>
        </w:tc>
      </w:tr>
      <w:tr>
        <w:tblPrEx>
          <w:tblCellMar>
            <w:top w:w="0" w:type="dxa"/>
            <w:left w:w="108" w:type="dxa"/>
            <w:bottom w:w="0" w:type="dxa"/>
            <w:right w:w="108" w:type="dxa"/>
          </w:tblCellMar>
        </w:tblPrEx>
        <w:trPr>
          <w:trHeight w:val="300" w:hRule="atLeast"/>
        </w:trPr>
        <w:tc>
          <w:tcPr>
            <w:tcW w:w="746"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肉羊</w:t>
            </w:r>
          </w:p>
        </w:tc>
        <w:tc>
          <w:tcPr>
            <w:tcW w:w="74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807</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 xml:space="preserve">203.24 </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0.53%</w:t>
            </w:r>
          </w:p>
        </w:tc>
        <w:tc>
          <w:tcPr>
            <w:tcW w:w="815"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 xml:space="preserve">120.77 </w:t>
            </w:r>
          </w:p>
        </w:tc>
        <w:tc>
          <w:tcPr>
            <w:tcW w:w="89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0.44%</w:t>
            </w:r>
          </w:p>
        </w:tc>
      </w:tr>
      <w:tr>
        <w:tblPrEx>
          <w:tblCellMar>
            <w:top w:w="0" w:type="dxa"/>
            <w:left w:w="108" w:type="dxa"/>
            <w:bottom w:w="0" w:type="dxa"/>
            <w:right w:w="108" w:type="dxa"/>
          </w:tblCellMar>
        </w:tblPrEx>
        <w:trPr>
          <w:trHeight w:val="300" w:hRule="atLeast"/>
        </w:trPr>
        <w:tc>
          <w:tcPr>
            <w:tcW w:w="746"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肉鸡</w:t>
            </w:r>
          </w:p>
        </w:tc>
        <w:tc>
          <w:tcPr>
            <w:tcW w:w="74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25500</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1262.25</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3.31%</w:t>
            </w:r>
          </w:p>
        </w:tc>
        <w:tc>
          <w:tcPr>
            <w:tcW w:w="815"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w:t>
            </w:r>
          </w:p>
        </w:tc>
        <w:tc>
          <w:tcPr>
            <w:tcW w:w="89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w:t>
            </w:r>
          </w:p>
        </w:tc>
      </w:tr>
      <w:tr>
        <w:tblPrEx>
          <w:tblCellMar>
            <w:top w:w="0" w:type="dxa"/>
            <w:left w:w="108" w:type="dxa"/>
            <w:bottom w:w="0" w:type="dxa"/>
            <w:right w:w="108" w:type="dxa"/>
          </w:tblCellMar>
        </w:tblPrEx>
        <w:trPr>
          <w:trHeight w:val="300" w:hRule="atLeast"/>
        </w:trPr>
        <w:tc>
          <w:tcPr>
            <w:tcW w:w="746"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蛋鸡</w:t>
            </w:r>
          </w:p>
        </w:tc>
        <w:tc>
          <w:tcPr>
            <w:tcW w:w="74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4800</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192.72</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0.50%</w:t>
            </w:r>
          </w:p>
        </w:tc>
        <w:tc>
          <w:tcPr>
            <w:tcW w:w="815"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w:t>
            </w:r>
          </w:p>
        </w:tc>
        <w:tc>
          <w:tcPr>
            <w:tcW w:w="89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w:t>
            </w:r>
          </w:p>
        </w:tc>
      </w:tr>
      <w:tr>
        <w:tblPrEx>
          <w:tblCellMar>
            <w:top w:w="0" w:type="dxa"/>
            <w:left w:w="108" w:type="dxa"/>
            <w:bottom w:w="0" w:type="dxa"/>
            <w:right w:w="108" w:type="dxa"/>
          </w:tblCellMar>
        </w:tblPrEx>
        <w:trPr>
          <w:trHeight w:val="300" w:hRule="atLeast"/>
        </w:trPr>
        <w:tc>
          <w:tcPr>
            <w:tcW w:w="746"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肉鸭</w:t>
            </w:r>
          </w:p>
        </w:tc>
        <w:tc>
          <w:tcPr>
            <w:tcW w:w="74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20000</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990</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2.59%</w:t>
            </w:r>
          </w:p>
        </w:tc>
        <w:tc>
          <w:tcPr>
            <w:tcW w:w="815"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w:t>
            </w:r>
          </w:p>
        </w:tc>
        <w:tc>
          <w:tcPr>
            <w:tcW w:w="89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w:t>
            </w:r>
          </w:p>
        </w:tc>
      </w:tr>
      <w:tr>
        <w:tblPrEx>
          <w:tblCellMar>
            <w:top w:w="0" w:type="dxa"/>
            <w:left w:w="108" w:type="dxa"/>
            <w:bottom w:w="0" w:type="dxa"/>
            <w:right w:w="108" w:type="dxa"/>
          </w:tblCellMar>
        </w:tblPrEx>
        <w:trPr>
          <w:trHeight w:val="300" w:hRule="atLeast"/>
        </w:trPr>
        <w:tc>
          <w:tcPr>
            <w:tcW w:w="746"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肉鹅</w:t>
            </w:r>
          </w:p>
        </w:tc>
        <w:tc>
          <w:tcPr>
            <w:tcW w:w="746" w:type="pct"/>
            <w:tcBorders>
              <w:top w:val="nil"/>
              <w:left w:val="nil"/>
              <w:bottom w:val="single" w:color="auto" w:sz="4" w:space="0"/>
              <w:right w:val="single" w:color="auto" w:sz="4" w:space="0"/>
            </w:tcBorders>
            <w:shd w:val="clear" w:color="auto" w:fill="auto"/>
            <w:noWrap/>
            <w:vAlign w:val="bottom"/>
          </w:tcPr>
          <w:p>
            <w:pPr>
              <w:widowControl/>
              <w:snapToGrid w:val="0"/>
              <w:jc w:val="right"/>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16000</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1584</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4.15%</w:t>
            </w:r>
          </w:p>
        </w:tc>
        <w:tc>
          <w:tcPr>
            <w:tcW w:w="815"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w:t>
            </w:r>
          </w:p>
        </w:tc>
        <w:tc>
          <w:tcPr>
            <w:tcW w:w="89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w:t>
            </w:r>
          </w:p>
        </w:tc>
      </w:tr>
      <w:tr>
        <w:tblPrEx>
          <w:tblCellMar>
            <w:top w:w="0" w:type="dxa"/>
            <w:left w:w="108" w:type="dxa"/>
            <w:bottom w:w="0" w:type="dxa"/>
            <w:right w:w="108" w:type="dxa"/>
          </w:tblCellMar>
        </w:tblPrEx>
        <w:trPr>
          <w:trHeight w:val="300" w:hRule="atLeast"/>
        </w:trPr>
        <w:tc>
          <w:tcPr>
            <w:tcW w:w="746"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合计</w:t>
            </w:r>
          </w:p>
        </w:tc>
        <w:tc>
          <w:tcPr>
            <w:tcW w:w="74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　</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 xml:space="preserve">38183.03 </w:t>
            </w:r>
          </w:p>
        </w:tc>
        <w:tc>
          <w:tcPr>
            <w:tcW w:w="89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100.00%</w:t>
            </w:r>
          </w:p>
        </w:tc>
        <w:tc>
          <w:tcPr>
            <w:tcW w:w="815"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 xml:space="preserve">27293.33 </w:t>
            </w:r>
          </w:p>
        </w:tc>
        <w:tc>
          <w:tcPr>
            <w:tcW w:w="89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100.00%</w:t>
            </w:r>
          </w:p>
        </w:tc>
      </w:tr>
    </w:tbl>
    <w:p>
      <w:pPr>
        <w:spacing w:line="360" w:lineRule="auto"/>
        <w:jc w:val="center"/>
        <w:rPr>
          <w:rFonts w:ascii="Times New Roman" w:hAnsi="Times New Roman" w:eastAsia="方正仿宋简体"/>
          <w:sz w:val="32"/>
          <w:szCs w:val="32"/>
        </w:rPr>
      </w:pPr>
    </w:p>
    <w:p>
      <w:pPr>
        <w:widowControl/>
        <w:spacing w:line="360" w:lineRule="auto"/>
        <w:jc w:val="center"/>
        <w:rPr>
          <w:rFonts w:ascii="Times New Roman" w:hAnsi="Times New Roman" w:eastAsia="方正仿宋简体"/>
          <w:b/>
          <w:bCs/>
          <w:sz w:val="32"/>
          <w:szCs w:val="32"/>
        </w:rPr>
      </w:pPr>
      <w:r>
        <w:rPr>
          <w:rFonts w:ascii="Times New Roman" w:hAnsi="Times New Roman" w:eastAsia="方正仿宋简体"/>
          <w:sz w:val="32"/>
          <w:szCs w:val="32"/>
        </w:rPr>
        <w:drawing>
          <wp:inline distT="0" distB="0" distL="0" distR="0">
            <wp:extent cx="4572000" cy="2743200"/>
            <wp:effectExtent l="0" t="0" r="19050" b="190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widowControl/>
        <w:spacing w:line="360" w:lineRule="auto"/>
        <w:jc w:val="center"/>
        <w:rPr>
          <w:rFonts w:ascii="Times New Roman" w:hAnsi="Times New Roman" w:eastAsia="方正仿宋简体"/>
          <w:b/>
          <w:bCs/>
          <w:sz w:val="32"/>
          <w:szCs w:val="32"/>
        </w:rPr>
      </w:pPr>
      <w:r>
        <w:rPr>
          <w:rFonts w:ascii="Times New Roman" w:hAnsi="Times New Roman" w:eastAsia="方正仿宋简体"/>
          <w:b/>
          <w:bCs/>
          <w:sz w:val="32"/>
          <w:szCs w:val="32"/>
        </w:rPr>
        <w:t>图2.4-5 太白湖新区不同类型畜禽粪污产生情况图</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③</w:t>
      </w:r>
      <w:r>
        <w:rPr>
          <w:rFonts w:ascii="Times New Roman" w:hAnsi="Times New Roman" w:eastAsia="方正仿宋简体"/>
          <w:color w:val="000000" w:themeColor="text1"/>
          <w:sz w:val="32"/>
          <w:szCs w:val="32"/>
          <w14:textFill>
            <w14:solidFill>
              <w14:schemeClr w14:val="tx1"/>
            </w14:solidFill>
          </w14:textFill>
        </w:rPr>
        <w:t>各镇街畜禽粪污产生情况</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通过对各镇街畜禽粪污产生情况进行分析。各街道畜禽粪污产生情况见表2.4-8。</w:t>
      </w:r>
    </w:p>
    <w:p>
      <w:pPr>
        <w:pStyle w:val="60"/>
        <w:spacing w:line="560" w:lineRule="exact"/>
        <w:ind w:firstLine="0" w:firstLineChars="0"/>
        <w:jc w:val="center"/>
        <w:rPr>
          <w:rFonts w:ascii="Times New Roman" w:hAnsi="Times New Roman" w:eastAsia="方正仿宋简体"/>
          <w:b/>
          <w:bCs/>
          <w:sz w:val="32"/>
          <w:szCs w:val="32"/>
        </w:rPr>
      </w:pPr>
      <w:r>
        <w:rPr>
          <w:rFonts w:ascii="Times New Roman" w:hAnsi="Times New Roman" w:eastAsia="方正仿宋简体"/>
          <w:b/>
          <w:bCs/>
          <w:sz w:val="32"/>
          <w:szCs w:val="32"/>
        </w:rPr>
        <w:t>表2.4-8 各镇街养殖专业户粪污产生情况表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1671"/>
        <w:gridCol w:w="1778"/>
        <w:gridCol w:w="1319"/>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9" w:type="dxa"/>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镇街</w:t>
            </w:r>
          </w:p>
        </w:tc>
        <w:tc>
          <w:tcPr>
            <w:tcW w:w="1671" w:type="dxa"/>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粪便产生量（t/a）</w:t>
            </w:r>
          </w:p>
        </w:tc>
        <w:tc>
          <w:tcPr>
            <w:tcW w:w="0" w:type="auto"/>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尿液产生量（t/a）</w:t>
            </w:r>
          </w:p>
        </w:tc>
        <w:tc>
          <w:tcPr>
            <w:tcW w:w="0" w:type="auto"/>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合计（t/a）</w:t>
            </w:r>
          </w:p>
        </w:tc>
        <w:tc>
          <w:tcPr>
            <w:tcW w:w="0" w:type="auto"/>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合计占比（%）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39" w:type="dxa"/>
            <w:shd w:val="clear" w:color="auto" w:fill="auto"/>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许庄街道</w:t>
            </w:r>
          </w:p>
        </w:tc>
        <w:tc>
          <w:tcPr>
            <w:tcW w:w="1671" w:type="dxa"/>
            <w:shd w:val="clear" w:color="auto" w:fill="auto"/>
            <w:vAlign w:val="center"/>
          </w:tcPr>
          <w:p>
            <w:pPr>
              <w:widowControl/>
              <w:snapToGrid w:val="0"/>
              <w:jc w:val="center"/>
              <w:textAlignment w:val="center"/>
              <w:rPr>
                <w:rFonts w:ascii="Times New Roman" w:hAnsi="Times New Roman" w:eastAsia="方正仿宋简体"/>
                <w:sz w:val="28"/>
                <w:szCs w:val="28"/>
              </w:rPr>
            </w:pPr>
            <w:r>
              <w:rPr>
                <w:rFonts w:ascii="Times New Roman" w:hAnsi="Times New Roman" w:eastAsia="方正仿宋简体"/>
                <w:kern w:val="0"/>
                <w:sz w:val="28"/>
                <w:szCs w:val="28"/>
                <w:lang w:bidi="ar"/>
              </w:rPr>
              <w:t>0</w:t>
            </w:r>
          </w:p>
        </w:tc>
        <w:tc>
          <w:tcPr>
            <w:tcW w:w="1778" w:type="dxa"/>
            <w:shd w:val="clear" w:color="auto" w:fill="auto"/>
            <w:vAlign w:val="center"/>
          </w:tcPr>
          <w:p>
            <w:pPr>
              <w:widowControl/>
              <w:snapToGrid w:val="0"/>
              <w:jc w:val="center"/>
              <w:textAlignment w:val="center"/>
              <w:rPr>
                <w:rFonts w:ascii="Times New Roman" w:hAnsi="Times New Roman" w:eastAsia="方正仿宋简体"/>
                <w:sz w:val="28"/>
                <w:szCs w:val="28"/>
              </w:rPr>
            </w:pPr>
            <w:r>
              <w:rPr>
                <w:rFonts w:ascii="Times New Roman" w:hAnsi="Times New Roman" w:eastAsia="方正仿宋简体"/>
                <w:kern w:val="0"/>
                <w:sz w:val="28"/>
                <w:szCs w:val="28"/>
                <w:lang w:bidi="ar"/>
              </w:rPr>
              <w:t>0</w:t>
            </w:r>
          </w:p>
        </w:tc>
        <w:tc>
          <w:tcPr>
            <w:tcW w:w="1319" w:type="dxa"/>
            <w:shd w:val="clear" w:color="auto" w:fill="auto"/>
            <w:vAlign w:val="center"/>
          </w:tcPr>
          <w:p>
            <w:pPr>
              <w:widowControl/>
              <w:snapToGrid w:val="0"/>
              <w:jc w:val="center"/>
              <w:textAlignment w:val="center"/>
              <w:rPr>
                <w:rFonts w:ascii="Times New Roman" w:hAnsi="Times New Roman" w:eastAsia="方正仿宋简体"/>
                <w:sz w:val="28"/>
                <w:szCs w:val="28"/>
              </w:rPr>
            </w:pPr>
            <w:r>
              <w:rPr>
                <w:rFonts w:ascii="Times New Roman" w:hAnsi="Times New Roman" w:eastAsia="方正仿宋简体"/>
                <w:kern w:val="0"/>
                <w:sz w:val="28"/>
                <w:szCs w:val="28"/>
                <w:lang w:bidi="ar"/>
              </w:rPr>
              <w:t>0</w:t>
            </w:r>
          </w:p>
        </w:tc>
        <w:tc>
          <w:tcPr>
            <w:tcW w:w="1524" w:type="dxa"/>
            <w:shd w:val="clear" w:color="auto" w:fill="auto"/>
            <w:vAlign w:val="center"/>
          </w:tcPr>
          <w:p>
            <w:pPr>
              <w:widowControl/>
              <w:snapToGrid w:val="0"/>
              <w:jc w:val="center"/>
              <w:textAlignment w:val="center"/>
              <w:rPr>
                <w:rFonts w:ascii="Times New Roman" w:hAnsi="Times New Roman" w:eastAsia="方正仿宋简体"/>
                <w:sz w:val="28"/>
                <w:szCs w:val="28"/>
              </w:rPr>
            </w:pPr>
            <w:r>
              <w:rPr>
                <w:rFonts w:ascii="Times New Roman" w:hAnsi="Times New Roman" w:eastAsia="方正仿宋简体"/>
                <w:kern w:val="0"/>
                <w:sz w:val="28"/>
                <w:szCs w:val="2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539" w:type="dxa"/>
            <w:shd w:val="clear" w:color="auto" w:fill="auto"/>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石桥镇</w:t>
            </w:r>
          </w:p>
        </w:tc>
        <w:tc>
          <w:tcPr>
            <w:tcW w:w="1671" w:type="dxa"/>
            <w:shd w:val="clear" w:color="auto" w:fill="auto"/>
            <w:vAlign w:val="center"/>
          </w:tcPr>
          <w:p>
            <w:pPr>
              <w:widowControl/>
              <w:snapToGrid w:val="0"/>
              <w:jc w:val="center"/>
              <w:textAlignment w:val="center"/>
              <w:rPr>
                <w:rFonts w:ascii="Times New Roman" w:hAnsi="Times New Roman" w:eastAsia="方正仿宋简体"/>
                <w:sz w:val="28"/>
                <w:szCs w:val="28"/>
              </w:rPr>
            </w:pPr>
            <w:r>
              <w:rPr>
                <w:rFonts w:ascii="Times New Roman" w:hAnsi="Times New Roman" w:eastAsia="方正仿宋简体"/>
                <w:color w:val="000000"/>
                <w:kern w:val="0"/>
                <w:sz w:val="28"/>
                <w:szCs w:val="28"/>
              </w:rPr>
              <w:t>38183.03</w:t>
            </w:r>
          </w:p>
        </w:tc>
        <w:tc>
          <w:tcPr>
            <w:tcW w:w="1778" w:type="dxa"/>
            <w:shd w:val="clear" w:color="auto" w:fill="auto"/>
            <w:vAlign w:val="center"/>
          </w:tcPr>
          <w:p>
            <w:pPr>
              <w:widowControl/>
              <w:snapToGrid w:val="0"/>
              <w:jc w:val="center"/>
              <w:textAlignment w:val="center"/>
              <w:rPr>
                <w:rFonts w:ascii="Times New Roman" w:hAnsi="Times New Roman" w:eastAsia="方正仿宋简体"/>
                <w:sz w:val="28"/>
                <w:szCs w:val="28"/>
              </w:rPr>
            </w:pPr>
            <w:r>
              <w:rPr>
                <w:rFonts w:ascii="Times New Roman" w:hAnsi="Times New Roman" w:eastAsia="方正仿宋简体"/>
                <w:color w:val="000000"/>
                <w:kern w:val="0"/>
                <w:sz w:val="28"/>
                <w:szCs w:val="28"/>
              </w:rPr>
              <w:t>27293.33</w:t>
            </w:r>
          </w:p>
        </w:tc>
        <w:tc>
          <w:tcPr>
            <w:tcW w:w="1319" w:type="dxa"/>
            <w:shd w:val="clear" w:color="auto" w:fill="auto"/>
            <w:vAlign w:val="center"/>
          </w:tcPr>
          <w:p>
            <w:pPr>
              <w:widowControl/>
              <w:snapToGrid w:val="0"/>
              <w:jc w:val="center"/>
              <w:textAlignment w:val="center"/>
              <w:rPr>
                <w:rFonts w:ascii="Times New Roman" w:hAnsi="Times New Roman" w:eastAsia="方正仿宋简体"/>
                <w:sz w:val="28"/>
                <w:szCs w:val="28"/>
              </w:rPr>
            </w:pPr>
            <w:r>
              <w:rPr>
                <w:rFonts w:ascii="Times New Roman" w:hAnsi="Times New Roman" w:eastAsia="方正仿宋简体"/>
                <w:kern w:val="0"/>
                <w:sz w:val="28"/>
                <w:szCs w:val="28"/>
                <w:lang w:bidi="ar"/>
              </w:rPr>
              <w:t>65476.36</w:t>
            </w:r>
          </w:p>
        </w:tc>
        <w:tc>
          <w:tcPr>
            <w:tcW w:w="1524" w:type="dxa"/>
            <w:shd w:val="clear" w:color="auto" w:fill="auto"/>
            <w:vAlign w:val="center"/>
          </w:tcPr>
          <w:p>
            <w:pPr>
              <w:widowControl/>
              <w:snapToGrid w:val="0"/>
              <w:jc w:val="center"/>
              <w:textAlignment w:val="center"/>
              <w:rPr>
                <w:rFonts w:ascii="Times New Roman" w:hAnsi="Times New Roman" w:eastAsia="方正仿宋简体"/>
                <w:sz w:val="28"/>
                <w:szCs w:val="28"/>
              </w:rPr>
            </w:pPr>
            <w:r>
              <w:rPr>
                <w:rFonts w:ascii="Times New Roman" w:hAnsi="Times New Roman" w:eastAsia="方正仿宋简体"/>
                <w:kern w:val="0"/>
                <w:sz w:val="28"/>
                <w:szCs w:val="28"/>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9" w:type="dxa"/>
            <w:shd w:val="clear" w:color="auto" w:fill="auto"/>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合计</w:t>
            </w:r>
          </w:p>
        </w:tc>
        <w:tc>
          <w:tcPr>
            <w:tcW w:w="1671" w:type="dxa"/>
            <w:shd w:val="clear" w:color="auto" w:fill="auto"/>
            <w:vAlign w:val="center"/>
          </w:tcPr>
          <w:p>
            <w:pPr>
              <w:widowControl/>
              <w:snapToGrid w:val="0"/>
              <w:jc w:val="center"/>
              <w:textAlignment w:val="center"/>
              <w:rPr>
                <w:rFonts w:ascii="Times New Roman" w:hAnsi="Times New Roman" w:eastAsia="方正仿宋简体"/>
                <w:sz w:val="28"/>
                <w:szCs w:val="28"/>
              </w:rPr>
            </w:pPr>
            <w:r>
              <w:rPr>
                <w:rFonts w:ascii="Times New Roman" w:hAnsi="Times New Roman" w:eastAsia="方正仿宋简体"/>
                <w:color w:val="000000"/>
                <w:kern w:val="0"/>
                <w:sz w:val="28"/>
                <w:szCs w:val="28"/>
              </w:rPr>
              <w:t>38183.03</w:t>
            </w:r>
          </w:p>
        </w:tc>
        <w:tc>
          <w:tcPr>
            <w:tcW w:w="1778" w:type="dxa"/>
            <w:shd w:val="clear" w:color="auto" w:fill="auto"/>
            <w:vAlign w:val="center"/>
          </w:tcPr>
          <w:p>
            <w:pPr>
              <w:widowControl/>
              <w:snapToGrid w:val="0"/>
              <w:jc w:val="center"/>
              <w:textAlignment w:val="center"/>
              <w:rPr>
                <w:rFonts w:ascii="Times New Roman" w:hAnsi="Times New Roman" w:eastAsia="方正仿宋简体"/>
                <w:sz w:val="28"/>
                <w:szCs w:val="28"/>
              </w:rPr>
            </w:pPr>
            <w:r>
              <w:rPr>
                <w:rFonts w:ascii="Times New Roman" w:hAnsi="Times New Roman" w:eastAsia="方正仿宋简体"/>
                <w:color w:val="000000"/>
                <w:kern w:val="0"/>
                <w:sz w:val="28"/>
                <w:szCs w:val="28"/>
              </w:rPr>
              <w:t>27293.33</w:t>
            </w:r>
          </w:p>
        </w:tc>
        <w:tc>
          <w:tcPr>
            <w:tcW w:w="1319" w:type="dxa"/>
            <w:shd w:val="clear" w:color="auto" w:fill="auto"/>
            <w:vAlign w:val="center"/>
          </w:tcPr>
          <w:p>
            <w:pPr>
              <w:widowControl/>
              <w:snapToGrid w:val="0"/>
              <w:jc w:val="center"/>
              <w:textAlignment w:val="center"/>
              <w:rPr>
                <w:rFonts w:ascii="Times New Roman" w:hAnsi="Times New Roman" w:eastAsia="方正仿宋简体"/>
                <w:sz w:val="28"/>
                <w:szCs w:val="28"/>
              </w:rPr>
            </w:pPr>
            <w:r>
              <w:rPr>
                <w:rFonts w:ascii="Times New Roman" w:hAnsi="Times New Roman" w:eastAsia="方正仿宋简体"/>
                <w:kern w:val="0"/>
                <w:sz w:val="28"/>
                <w:szCs w:val="28"/>
                <w:lang w:bidi="ar"/>
              </w:rPr>
              <w:t>65476.36</w:t>
            </w:r>
          </w:p>
        </w:tc>
        <w:tc>
          <w:tcPr>
            <w:tcW w:w="1524" w:type="dxa"/>
            <w:shd w:val="clear" w:color="auto" w:fill="auto"/>
            <w:vAlign w:val="center"/>
          </w:tcPr>
          <w:p>
            <w:pPr>
              <w:widowControl/>
              <w:snapToGrid w:val="0"/>
              <w:jc w:val="center"/>
              <w:textAlignment w:val="center"/>
              <w:rPr>
                <w:rFonts w:ascii="Times New Roman" w:hAnsi="Times New Roman" w:eastAsia="方正仿宋简体"/>
                <w:sz w:val="28"/>
                <w:szCs w:val="28"/>
              </w:rPr>
            </w:pPr>
            <w:r>
              <w:rPr>
                <w:rFonts w:ascii="Times New Roman" w:hAnsi="Times New Roman" w:eastAsia="方正仿宋简体"/>
                <w:kern w:val="0"/>
                <w:sz w:val="28"/>
                <w:szCs w:val="28"/>
                <w:lang w:bidi="ar"/>
              </w:rPr>
              <w:t>100.00%</w:t>
            </w:r>
          </w:p>
        </w:tc>
      </w:tr>
    </w:tbl>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fldChar w:fldCharType="begin"/>
      </w:r>
      <w:r>
        <w:rPr>
          <w:rFonts w:ascii="Times New Roman" w:hAnsi="Times New Roman" w:eastAsia="方正仿宋简体"/>
          <w:color w:val="000000" w:themeColor="text1"/>
          <w:sz w:val="32"/>
          <w:szCs w:val="32"/>
          <w14:textFill>
            <w14:solidFill>
              <w14:schemeClr w14:val="tx1"/>
            </w14:solidFill>
          </w14:textFill>
        </w:rPr>
        <w:instrText xml:space="preserve"> = 4 \* GB3 \* MERGEFORMAT </w:instrText>
      </w:r>
      <w:r>
        <w:rPr>
          <w:rFonts w:ascii="Times New Roman" w:hAnsi="Times New Roman" w:eastAsia="方正仿宋简体"/>
          <w:color w:val="000000" w:themeColor="text1"/>
          <w:sz w:val="32"/>
          <w:szCs w:val="32"/>
          <w14:textFill>
            <w14:solidFill>
              <w14:schemeClr w14:val="tx1"/>
            </w14:solidFill>
          </w14:textFill>
        </w:rPr>
        <w:fldChar w:fldCharType="separate"/>
      </w:r>
      <w:r>
        <w:rPr>
          <w:rFonts w:hint="eastAsia" w:ascii="宋体" w:hAnsi="宋体" w:cs="宋体"/>
          <w:color w:val="000000" w:themeColor="text1"/>
          <w:sz w:val="32"/>
          <w:szCs w:val="32"/>
          <w14:textFill>
            <w14:solidFill>
              <w14:schemeClr w14:val="tx1"/>
            </w14:solidFill>
          </w14:textFill>
        </w:rPr>
        <w:t>④</w:t>
      </w:r>
      <w:r>
        <w:rPr>
          <w:rFonts w:ascii="Times New Roman" w:hAnsi="Times New Roman" w:eastAsia="方正仿宋简体"/>
          <w:color w:val="000000" w:themeColor="text1"/>
          <w:sz w:val="32"/>
          <w:szCs w:val="32"/>
          <w14:textFill>
            <w14:solidFill>
              <w14:schemeClr w14:val="tx1"/>
            </w14:solidFill>
          </w14:textFill>
        </w:rPr>
        <w:fldChar w:fldCharType="end"/>
      </w:r>
      <w:r>
        <w:rPr>
          <w:rFonts w:ascii="Times New Roman" w:hAnsi="Times New Roman" w:eastAsia="方正仿宋简体"/>
          <w:color w:val="000000" w:themeColor="text1"/>
          <w:sz w:val="32"/>
          <w:szCs w:val="32"/>
          <w14:textFill>
            <w14:solidFill>
              <w14:schemeClr w14:val="tx1"/>
            </w14:solidFill>
          </w14:textFill>
        </w:rPr>
        <w:t>污染物产排状况</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排放源统计调查产排污核算方法和系数手册》（生态环境部2021年第24号公告）及《农业污染源产排污系数手册》等资料，结合济宁太白湖新区各畜种畜禽养殖情况，对济宁太白湖新区畜禽养殖产排污量进行核算。济宁太白湖新区各畜种排污系数见表2.4-9。</w:t>
      </w:r>
    </w:p>
    <w:p>
      <w:pPr>
        <w:spacing w:line="560" w:lineRule="exact"/>
        <w:ind w:firstLine="643" w:firstLineChars="200"/>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kern w:val="0"/>
          <w:sz w:val="32"/>
          <w:szCs w:val="32"/>
          <w14:textFill>
            <w14:solidFill>
              <w14:schemeClr w14:val="tx1"/>
            </w14:solidFill>
          </w14:textFill>
        </w:rPr>
        <w:t>表2.4-9 济宁太白湖新区各畜种养殖周期内排污系数表</w:t>
      </w:r>
      <w:r>
        <w:rPr>
          <w:rFonts w:ascii="Times New Roman" w:hAnsi="Times New Roman" w:eastAsia="方正仿宋简体"/>
          <w:b/>
          <w:color w:val="000000" w:themeColor="text1"/>
          <w:sz w:val="32"/>
          <w:szCs w:val="32"/>
          <w14:textFill>
            <w14:solidFill>
              <w14:schemeClr w14:val="tx1"/>
            </w14:solidFill>
          </w14:textFill>
        </w:rPr>
        <w:t>。</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002"/>
        <w:gridCol w:w="1680"/>
        <w:gridCol w:w="1284"/>
        <w:gridCol w:w="1090"/>
        <w:gridCol w:w="1150"/>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91" w:type="dxa"/>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系数</w:t>
            </w:r>
          </w:p>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类型</w:t>
            </w:r>
          </w:p>
        </w:tc>
        <w:tc>
          <w:tcPr>
            <w:tcW w:w="1002" w:type="dxa"/>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规模</w:t>
            </w:r>
          </w:p>
        </w:tc>
        <w:tc>
          <w:tcPr>
            <w:tcW w:w="1680" w:type="dxa"/>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畜禽种类</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化学需氧量</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总氮</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氨氮</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91" w:type="dxa"/>
            <w:vMerge w:val="restar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产物</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系数</w:t>
            </w:r>
          </w:p>
        </w:tc>
        <w:tc>
          <w:tcPr>
            <w:tcW w:w="1002" w:type="dxa"/>
            <w:vMerge w:val="restar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规模化养殖</w:t>
            </w: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生猪</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（千克/头）</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69.111</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5.551</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1.542</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1.327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91"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002"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奶牛</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（千克/头）</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1696.330</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62.476</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4.062</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9.408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91"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002"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肉牛</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（千克/头）</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1288.285</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32.194</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7.655</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5.197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91"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002"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蛋鸡</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（千克/羽）</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12.398</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0.613</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0.048</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91"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002"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肉鸡</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（千克/羽）</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2.695</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0.100</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0.037</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91"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002" w:type="dxa"/>
            <w:vMerge w:val="restar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养殖专业户</w:t>
            </w: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生猪</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（千克/头）</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75.5</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3.5</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0.4</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91"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002"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奶牛</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（千克/头）</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2170.9</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72.4</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3.3</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91"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002"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肉牛</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（千克/头）</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1860.4</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45.6</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3.2</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91"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002"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蛋鸡</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（千克/羽）</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10.4</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0.7</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0.1</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91"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002"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肉鸡</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（千克/羽）</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2.2</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0.1</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0.010</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91" w:type="dxa"/>
            <w:vMerge w:val="restar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排污</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系数</w:t>
            </w:r>
          </w:p>
        </w:tc>
        <w:tc>
          <w:tcPr>
            <w:tcW w:w="1002" w:type="dxa"/>
            <w:vMerge w:val="restar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规模化养殖</w:t>
            </w: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生猪</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（千克/头）</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6.7607</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0.8544</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0.2539</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0.1376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091"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002"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奶牛</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（千克/头）</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112.1725</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7.8966</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0.5752</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0.6384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091"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002"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肉牛</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（千克/头）</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115.1282</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4.5111</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1.3056</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0.5653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091"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002"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蛋鸡</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（千克/羽）</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0.4141</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0.0241</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0.0019</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091"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002"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肉鸡</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（千克/羽）</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0.0845</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0.0036</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0.0013</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091" w:type="dxa"/>
            <w:vMerge w:val="restar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排污</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系数</w:t>
            </w:r>
          </w:p>
        </w:tc>
        <w:tc>
          <w:tcPr>
            <w:tcW w:w="1002" w:type="dxa"/>
            <w:vMerge w:val="restar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养殖专业户</w:t>
            </w: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生猪</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（千克/头）</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6.6495</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0.3796</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0.0419</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091"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002"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奶牛</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（千克/头）</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192.9813</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6.0259</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0.3065</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0.9908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091"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002"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肉牛</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（千克/头）</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164.0545</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5.5023</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0.3511</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091"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002"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蛋鸡</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（千克/羽）</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0.5497</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0.0237</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0.0023</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091"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002" w:type="dxa"/>
            <w:vMerge w:val="continue"/>
            <w:shd w:val="clear" w:color="auto" w:fill="auto"/>
            <w:vAlign w:val="center"/>
          </w:tcPr>
          <w:p>
            <w:pPr>
              <w:pStyle w:val="60"/>
              <w:snapToGrid w:val="0"/>
              <w:ind w:firstLine="0" w:firstLineChars="0"/>
              <w:jc w:val="center"/>
              <w:rPr>
                <w:rFonts w:ascii="Times New Roman" w:hAnsi="Times New Roman" w:eastAsia="方正仿宋简体"/>
                <w:sz w:val="28"/>
              </w:rPr>
            </w:pPr>
          </w:p>
        </w:tc>
        <w:tc>
          <w:tcPr>
            <w:tcW w:w="168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肉鸡</w:t>
            </w:r>
          </w:p>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（千克/羽）</w:t>
            </w:r>
          </w:p>
        </w:tc>
        <w:tc>
          <w:tcPr>
            <w:tcW w:w="1284"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0.1783</w:t>
            </w:r>
          </w:p>
        </w:tc>
        <w:tc>
          <w:tcPr>
            <w:tcW w:w="109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0.0089</w:t>
            </w:r>
          </w:p>
        </w:tc>
        <w:tc>
          <w:tcPr>
            <w:tcW w:w="1150"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0.0009</w:t>
            </w:r>
          </w:p>
        </w:tc>
        <w:tc>
          <w:tcPr>
            <w:tcW w:w="1225"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8522" w:type="dxa"/>
            <w:gridSpan w:val="7"/>
            <w:shd w:val="clear" w:color="auto" w:fill="auto"/>
            <w:vAlign w:val="center"/>
          </w:tcPr>
          <w:p>
            <w:pPr>
              <w:pStyle w:val="60"/>
              <w:snapToGrid w:val="0"/>
              <w:ind w:firstLine="0" w:firstLineChars="0"/>
              <w:rPr>
                <w:rFonts w:ascii="Times New Roman" w:hAnsi="Times New Roman" w:eastAsia="方正仿宋简体"/>
                <w:color w:val="000000" w:themeColor="text1"/>
                <w:kern w:val="0"/>
                <w:sz w:val="28"/>
                <w14:textFill>
                  <w14:solidFill>
                    <w14:schemeClr w14:val="tx1"/>
                  </w14:solidFill>
                </w14:textFill>
              </w:rPr>
            </w:pPr>
            <w:r>
              <w:rPr>
                <w:rFonts w:ascii="Times New Roman" w:hAnsi="Times New Roman" w:eastAsia="方正仿宋简体"/>
                <w:color w:val="000000" w:themeColor="text1"/>
                <w:kern w:val="0"/>
                <w:sz w:val="28"/>
                <w14:textFill>
                  <w14:solidFill>
                    <w14:schemeClr w14:val="tx1"/>
                  </w14:solidFill>
                </w14:textFill>
              </w:rPr>
              <w:t>由于《农业污染源产排污系数手册》中缺少羊的产排污系数，本规划按照2.5只羊=1头猪当量进行羊产排污系数折算。</w:t>
            </w:r>
          </w:p>
          <w:p>
            <w:pPr>
              <w:pStyle w:val="60"/>
              <w:snapToGrid w:val="0"/>
              <w:ind w:firstLine="0" w:firstLineChars="0"/>
              <w:rPr>
                <w:rFonts w:ascii="Times New Roman" w:hAnsi="Times New Roman" w:eastAsia="方正仿宋简体"/>
                <w:sz w:val="28"/>
              </w:rPr>
            </w:pPr>
            <w:r>
              <w:rPr>
                <w:rFonts w:ascii="Times New Roman" w:hAnsi="Times New Roman" w:eastAsia="方正仿宋简体"/>
                <w:color w:val="000000" w:themeColor="text1"/>
                <w:kern w:val="0"/>
                <w:sz w:val="28"/>
                <w14:textFill>
                  <w14:solidFill>
                    <w14:schemeClr w14:val="tx1"/>
                  </w14:solidFill>
                </w14:textFill>
              </w:rPr>
              <w:t>根据《排污许可证申请与核发技术规范畜禽养殖行业》（HJ1029-2019），换算比例为：1只鸭折算成1只鸡（蛋鸭折算成蛋鸡，肉鸭折算成肉鸡），1只鹅折算成2只鸡（蛋鹅折算成蛋鸡，肉鹅折算成肉鸡）。</w:t>
            </w:r>
          </w:p>
        </w:tc>
      </w:tr>
    </w:tbl>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污染物产生量计算公式如下：</w:t>
      </w:r>
    </w:p>
    <w:p>
      <w:pPr>
        <w:spacing w:line="360" w:lineRule="auto"/>
        <w:ind w:firstLine="640" w:firstLineChars="200"/>
        <w:rPr>
          <w:rFonts w:ascii="Times New Roman" w:hAnsi="Times New Roman" w:eastAsia="方正仿宋简体"/>
          <w:color w:val="000000" w:themeColor="text1"/>
          <w:sz w:val="32"/>
          <w:szCs w:val="32"/>
          <w14:textFill>
            <w14:solidFill>
              <w14:schemeClr w14:val="tx1"/>
            </w14:solidFill>
          </w14:textFill>
        </w:rPr>
      </w:pPr>
      <m:oMathPara>
        <m:oMath>
          <m:sSub>
            <m:sSubPr>
              <m:ctrlPr>
                <w:rPr>
                  <w:rFonts w:ascii="Cambria Math" w:hAnsi="Cambria Math" w:eastAsia="方正仿宋简体"/>
                  <w:color w:val="000000" w:themeColor="text1"/>
                  <w:sz w:val="32"/>
                  <w:szCs w:val="32"/>
                  <w14:textFill>
                    <w14:solidFill>
                      <w14:schemeClr w14:val="tx1"/>
                    </w14:solidFill>
                  </w14:textFill>
                </w:rPr>
              </m:ctrlPr>
            </m:sSubPr>
            <m:e>
              <m:r>
                <m:rPr>
                  <m:sty m:val="p"/>
                </m:rPr>
                <w:rPr>
                  <w:rFonts w:ascii="Cambria Math" w:hAnsi="Cambria Math" w:eastAsia="方正仿宋简体"/>
                  <w:color w:val="000000" w:themeColor="text1"/>
                  <w:sz w:val="32"/>
                  <w:szCs w:val="32"/>
                  <w14:textFill>
                    <w14:solidFill>
                      <w14:schemeClr w14:val="tx1"/>
                    </w14:solidFill>
                  </w14:textFill>
                </w:rPr>
                <m:t>Q</m:t>
              </m:r>
              <m:ctrlPr>
                <w:rPr>
                  <w:rFonts w:ascii="Cambria Math" w:hAnsi="Cambria Math" w:eastAsia="方正仿宋简体"/>
                  <w:color w:val="000000" w:themeColor="text1"/>
                  <w:sz w:val="32"/>
                  <w:szCs w:val="32"/>
                  <w14:textFill>
                    <w14:solidFill>
                      <w14:schemeClr w14:val="tx1"/>
                    </w14:solidFill>
                  </w14:textFill>
                </w:rPr>
              </m:ctrlPr>
            </m:e>
            <m:sub>
              <m:r>
                <m:rPr>
                  <m:sty m:val="p"/>
                </m:rPr>
                <w:rPr>
                  <w:rFonts w:ascii="Cambria Math" w:hAnsi="Cambria Math" w:eastAsia="方正仿宋简体"/>
                  <w:color w:val="000000" w:themeColor="text1"/>
                  <w:sz w:val="32"/>
                  <w:szCs w:val="32"/>
                  <w14:textFill>
                    <w14:solidFill>
                      <w14:schemeClr w14:val="tx1"/>
                    </w14:solidFill>
                  </w14:textFill>
                </w:rPr>
                <m:t>ij畜产</m:t>
              </m:r>
              <m:ctrlPr>
                <w:rPr>
                  <w:rFonts w:ascii="Cambria Math" w:hAnsi="Cambria Math" w:eastAsia="方正仿宋简体"/>
                  <w:color w:val="000000" w:themeColor="text1"/>
                  <w:sz w:val="32"/>
                  <w:szCs w:val="32"/>
                  <w14:textFill>
                    <w14:solidFill>
                      <w14:schemeClr w14:val="tx1"/>
                    </w14:solidFill>
                  </w14:textFill>
                </w:rPr>
              </m:ctrlPr>
            </m:sub>
          </m:sSub>
          <m:r>
            <m:rPr>
              <m:sty m:val="p"/>
            </m:rPr>
            <w:rPr>
              <w:rFonts w:ascii="Cambria Math" w:hAnsi="Cambria Math" w:eastAsia="方正仿宋简体"/>
              <w:color w:val="000000" w:themeColor="text1"/>
              <w:sz w:val="32"/>
              <w:szCs w:val="32"/>
              <w14:textFill>
                <w14:solidFill>
                  <w14:schemeClr w14:val="tx1"/>
                </w14:solidFill>
              </w14:textFill>
            </w:rPr>
            <m:t>=（</m:t>
          </m:r>
          <m:sSub>
            <m:sSubPr>
              <m:ctrlPr>
                <w:rPr>
                  <w:rFonts w:ascii="Cambria Math" w:hAnsi="Cambria Math" w:eastAsia="方正仿宋简体"/>
                  <w:color w:val="000000" w:themeColor="text1"/>
                  <w:sz w:val="32"/>
                  <w:szCs w:val="32"/>
                  <w14:textFill>
                    <w14:solidFill>
                      <w14:schemeClr w14:val="tx1"/>
                    </w14:solidFill>
                  </w14:textFill>
                </w:rPr>
              </m:ctrlPr>
            </m:sSubPr>
            <m:e>
              <m:r>
                <m:rPr>
                  <m:sty m:val="p"/>
                </m:rPr>
                <w:rPr>
                  <w:rFonts w:ascii="Cambria Math" w:hAnsi="Cambria Math" w:eastAsia="方正仿宋简体"/>
                  <w:color w:val="000000" w:themeColor="text1"/>
                  <w:sz w:val="32"/>
                  <w:szCs w:val="32"/>
                  <w14:textFill>
                    <w14:solidFill>
                      <w14:schemeClr w14:val="tx1"/>
                    </w14:solidFill>
                  </w14:textFill>
                </w:rPr>
                <m:t>q</m:t>
              </m:r>
              <m:ctrlPr>
                <w:rPr>
                  <w:rFonts w:ascii="Cambria Math" w:hAnsi="Cambria Math" w:eastAsia="方正仿宋简体"/>
                  <w:color w:val="000000" w:themeColor="text1"/>
                  <w:sz w:val="32"/>
                  <w:szCs w:val="32"/>
                  <w14:textFill>
                    <w14:solidFill>
                      <w14:schemeClr w14:val="tx1"/>
                    </w14:solidFill>
                  </w14:textFill>
                </w:rPr>
              </m:ctrlPr>
            </m:e>
            <m:sub>
              <m:r>
                <m:rPr>
                  <m:sty m:val="p"/>
                </m:rPr>
                <w:rPr>
                  <w:rFonts w:ascii="Cambria Math" w:hAnsi="Cambria Math" w:eastAsia="方正仿宋简体"/>
                  <w:color w:val="000000" w:themeColor="text1"/>
                  <w:sz w:val="32"/>
                  <w:szCs w:val="32"/>
                  <w14:textFill>
                    <w14:solidFill>
                      <w14:schemeClr w14:val="tx1"/>
                    </w14:solidFill>
                  </w14:textFill>
                </w:rPr>
                <m:t>i规模</m:t>
              </m:r>
              <m:ctrlPr>
                <w:rPr>
                  <w:rFonts w:ascii="Cambria Math" w:hAnsi="Cambria Math" w:eastAsia="方正仿宋简体"/>
                  <w:color w:val="000000" w:themeColor="text1"/>
                  <w:sz w:val="32"/>
                  <w:szCs w:val="32"/>
                  <w14:textFill>
                    <w14:solidFill>
                      <w14:schemeClr w14:val="tx1"/>
                    </w14:solidFill>
                  </w14:textFill>
                </w:rPr>
              </m:ctrlPr>
            </m:sub>
          </m:sSub>
          <m:r>
            <m:rPr>
              <m:sty m:val="p"/>
            </m:rPr>
            <w:rPr>
              <w:rFonts w:ascii="Cambria Math" w:hAnsi="Cambria Math" w:eastAsia="方正仿宋简体"/>
              <w:color w:val="000000" w:themeColor="text1"/>
              <w:sz w:val="32"/>
              <w:szCs w:val="32"/>
              <w14:textFill>
                <w14:solidFill>
                  <w14:schemeClr w14:val="tx1"/>
                </w14:solidFill>
              </w14:textFill>
            </w:rPr>
            <m:t>×</m:t>
          </m:r>
          <m:sSub>
            <m:sSubPr>
              <m:ctrlPr>
                <w:rPr>
                  <w:rFonts w:ascii="Cambria Math" w:hAnsi="Cambria Math" w:eastAsia="方正仿宋简体"/>
                  <w:color w:val="000000" w:themeColor="text1"/>
                  <w:sz w:val="32"/>
                  <w:szCs w:val="32"/>
                  <w14:textFill>
                    <w14:solidFill>
                      <w14:schemeClr w14:val="tx1"/>
                    </w14:solidFill>
                  </w14:textFill>
                </w:rPr>
              </m:ctrlPr>
            </m:sSubPr>
            <m:e>
              <m:r>
                <m:rPr>
                  <m:sty m:val="p"/>
                </m:rPr>
                <w:rPr>
                  <w:rFonts w:ascii="Cambria Math" w:hAnsi="Cambria Math" w:eastAsia="方正仿宋简体"/>
                  <w:color w:val="000000" w:themeColor="text1"/>
                  <w:sz w:val="32"/>
                  <w:szCs w:val="32"/>
                  <w14:textFill>
                    <w14:solidFill>
                      <w14:schemeClr w14:val="tx1"/>
                    </w14:solidFill>
                  </w14:textFill>
                </w:rPr>
                <m:t>f</m:t>
              </m:r>
              <m:ctrlPr>
                <w:rPr>
                  <w:rFonts w:ascii="Cambria Math" w:hAnsi="Cambria Math" w:eastAsia="方正仿宋简体"/>
                  <w:color w:val="000000" w:themeColor="text1"/>
                  <w:sz w:val="32"/>
                  <w:szCs w:val="32"/>
                  <w14:textFill>
                    <w14:solidFill>
                      <w14:schemeClr w14:val="tx1"/>
                    </w14:solidFill>
                  </w14:textFill>
                </w:rPr>
              </m:ctrlPr>
            </m:e>
            <m:sub>
              <m:r>
                <m:rPr>
                  <m:sty m:val="p"/>
                </m:rPr>
                <w:rPr>
                  <w:rFonts w:ascii="Cambria Math" w:hAnsi="Cambria Math" w:eastAsia="方正仿宋简体"/>
                  <w:color w:val="000000" w:themeColor="text1"/>
                  <w:sz w:val="32"/>
                  <w:szCs w:val="32"/>
                  <w14:textFill>
                    <w14:solidFill>
                      <w14:schemeClr w14:val="tx1"/>
                    </w14:solidFill>
                  </w14:textFill>
                </w:rPr>
                <m:t>ij规模</m:t>
              </m:r>
              <m:ctrlPr>
                <w:rPr>
                  <w:rFonts w:ascii="Cambria Math" w:hAnsi="Cambria Math" w:eastAsia="方正仿宋简体"/>
                  <w:color w:val="000000" w:themeColor="text1"/>
                  <w:sz w:val="32"/>
                  <w:szCs w:val="32"/>
                  <w14:textFill>
                    <w14:solidFill>
                      <w14:schemeClr w14:val="tx1"/>
                    </w14:solidFill>
                  </w14:textFill>
                </w:rPr>
              </m:ctrlPr>
            </m:sub>
          </m:sSub>
          <m:r>
            <m:rPr>
              <m:sty m:val="p"/>
            </m:rPr>
            <w:rPr>
              <w:rFonts w:ascii="Cambria Math" w:hAnsi="Cambria Math" w:eastAsia="方正仿宋简体"/>
              <w:color w:val="000000" w:themeColor="text1"/>
              <w:sz w:val="32"/>
              <w:szCs w:val="32"/>
              <w14:textFill>
                <w14:solidFill>
                  <w14:schemeClr w14:val="tx1"/>
                </w14:solidFill>
              </w14:textFill>
            </w:rPr>
            <m:t>+</m:t>
          </m:r>
          <m:sSub>
            <m:sSubPr>
              <m:ctrlPr>
                <w:rPr>
                  <w:rFonts w:ascii="Cambria Math" w:hAnsi="Cambria Math" w:eastAsia="方正仿宋简体"/>
                  <w:color w:val="000000" w:themeColor="text1"/>
                  <w:sz w:val="32"/>
                  <w:szCs w:val="32"/>
                  <w14:textFill>
                    <w14:solidFill>
                      <w14:schemeClr w14:val="tx1"/>
                    </w14:solidFill>
                  </w14:textFill>
                </w:rPr>
              </m:ctrlPr>
            </m:sSubPr>
            <m:e>
              <m:r>
                <m:rPr>
                  <m:sty m:val="p"/>
                </m:rPr>
                <w:rPr>
                  <w:rFonts w:ascii="Cambria Math" w:hAnsi="Cambria Math" w:eastAsia="方正仿宋简体"/>
                  <w:color w:val="000000" w:themeColor="text1"/>
                  <w:sz w:val="32"/>
                  <w:szCs w:val="32"/>
                  <w14:textFill>
                    <w14:solidFill>
                      <w14:schemeClr w14:val="tx1"/>
                    </w14:solidFill>
                  </w14:textFill>
                </w:rPr>
                <m:t>q</m:t>
              </m:r>
              <m:ctrlPr>
                <w:rPr>
                  <w:rFonts w:ascii="Cambria Math" w:hAnsi="Cambria Math" w:eastAsia="方正仿宋简体"/>
                  <w:color w:val="000000" w:themeColor="text1"/>
                  <w:sz w:val="32"/>
                  <w:szCs w:val="32"/>
                  <w14:textFill>
                    <w14:solidFill>
                      <w14:schemeClr w14:val="tx1"/>
                    </w14:solidFill>
                  </w14:textFill>
                </w:rPr>
              </m:ctrlPr>
            </m:e>
            <m:sub>
              <m:r>
                <m:rPr>
                  <m:sty m:val="p"/>
                </m:rPr>
                <w:rPr>
                  <w:rFonts w:ascii="Cambria Math" w:hAnsi="Cambria Math" w:eastAsia="方正仿宋简体"/>
                  <w:color w:val="000000" w:themeColor="text1"/>
                  <w:sz w:val="32"/>
                  <w:szCs w:val="32"/>
                  <w14:textFill>
                    <w14:solidFill>
                      <w14:schemeClr w14:val="tx1"/>
                    </w14:solidFill>
                  </w14:textFill>
                </w:rPr>
                <m:t>i养殖户</m:t>
              </m:r>
              <m:ctrlPr>
                <w:rPr>
                  <w:rFonts w:ascii="Cambria Math" w:hAnsi="Cambria Math" w:eastAsia="方正仿宋简体"/>
                  <w:color w:val="000000" w:themeColor="text1"/>
                  <w:sz w:val="32"/>
                  <w:szCs w:val="32"/>
                  <w14:textFill>
                    <w14:solidFill>
                      <w14:schemeClr w14:val="tx1"/>
                    </w14:solidFill>
                  </w14:textFill>
                </w:rPr>
              </m:ctrlPr>
            </m:sub>
          </m:sSub>
          <m:r>
            <m:rPr>
              <m:sty m:val="p"/>
            </m:rPr>
            <w:rPr>
              <w:rFonts w:ascii="Cambria Math" w:hAnsi="Cambria Math" w:eastAsia="方正仿宋简体"/>
              <w:color w:val="000000" w:themeColor="text1"/>
              <w:sz w:val="32"/>
              <w:szCs w:val="32"/>
              <w14:textFill>
                <w14:solidFill>
                  <w14:schemeClr w14:val="tx1"/>
                </w14:solidFill>
              </w14:textFill>
            </w:rPr>
            <m:t>×</m:t>
          </m:r>
          <m:sSub>
            <m:sSubPr>
              <m:ctrlPr>
                <w:rPr>
                  <w:rFonts w:ascii="Cambria Math" w:hAnsi="Cambria Math" w:eastAsia="方正仿宋简体"/>
                  <w:color w:val="000000" w:themeColor="text1"/>
                  <w:sz w:val="32"/>
                  <w:szCs w:val="32"/>
                  <w14:textFill>
                    <w14:solidFill>
                      <w14:schemeClr w14:val="tx1"/>
                    </w14:solidFill>
                  </w14:textFill>
                </w:rPr>
              </m:ctrlPr>
            </m:sSubPr>
            <m:e>
              <m:r>
                <m:rPr>
                  <m:sty m:val="p"/>
                </m:rPr>
                <w:rPr>
                  <w:rFonts w:ascii="Cambria Math" w:hAnsi="Cambria Math" w:eastAsia="方正仿宋简体"/>
                  <w:color w:val="000000" w:themeColor="text1"/>
                  <w:sz w:val="32"/>
                  <w:szCs w:val="32"/>
                  <w14:textFill>
                    <w14:solidFill>
                      <w14:schemeClr w14:val="tx1"/>
                    </w14:solidFill>
                  </w14:textFill>
                </w:rPr>
                <m:t>f</m:t>
              </m:r>
              <m:ctrlPr>
                <w:rPr>
                  <w:rFonts w:ascii="Cambria Math" w:hAnsi="Cambria Math" w:eastAsia="方正仿宋简体"/>
                  <w:color w:val="000000" w:themeColor="text1"/>
                  <w:sz w:val="32"/>
                  <w:szCs w:val="32"/>
                  <w14:textFill>
                    <w14:solidFill>
                      <w14:schemeClr w14:val="tx1"/>
                    </w14:solidFill>
                  </w14:textFill>
                </w:rPr>
              </m:ctrlPr>
            </m:e>
            <m:sub>
              <m:r>
                <m:rPr>
                  <m:sty m:val="p"/>
                </m:rPr>
                <w:rPr>
                  <w:rFonts w:ascii="Cambria Math" w:hAnsi="Cambria Math" w:eastAsia="方正仿宋简体"/>
                  <w:color w:val="000000" w:themeColor="text1"/>
                  <w:sz w:val="32"/>
                  <w:szCs w:val="32"/>
                  <w14:textFill>
                    <w14:solidFill>
                      <w14:schemeClr w14:val="tx1"/>
                    </w14:solidFill>
                  </w14:textFill>
                </w:rPr>
                <m:t>ij养殖户</m:t>
              </m:r>
              <m:ctrlPr>
                <w:rPr>
                  <w:rFonts w:ascii="Cambria Math" w:hAnsi="Cambria Math" w:eastAsia="方正仿宋简体"/>
                  <w:color w:val="000000" w:themeColor="text1"/>
                  <w:sz w:val="32"/>
                  <w:szCs w:val="32"/>
                  <w14:textFill>
                    <w14:solidFill>
                      <w14:schemeClr w14:val="tx1"/>
                    </w14:solidFill>
                  </w14:textFill>
                </w:rPr>
              </m:ctrlPr>
            </m:sub>
          </m:sSub>
          <m:r>
            <m:rPr>
              <m:sty m:val="p"/>
            </m:rPr>
            <w:rPr>
              <w:rFonts w:ascii="Cambria Math" w:hAnsi="Cambria Math" w:eastAsia="方正仿宋简体"/>
              <w:color w:val="000000" w:themeColor="text1"/>
              <w:sz w:val="32"/>
              <w:szCs w:val="32"/>
              <w14:textFill>
                <w14:solidFill>
                  <w14:schemeClr w14:val="tx1"/>
                </w14:solidFill>
              </w14:textFill>
            </w:rPr>
            <m:t>）×</m:t>
          </m:r>
          <m:sSup>
            <m:sSupPr>
              <m:ctrlPr>
                <w:rPr>
                  <w:rFonts w:ascii="Cambria Math" w:hAnsi="Cambria Math" w:eastAsia="方正仿宋简体"/>
                  <w:color w:val="000000" w:themeColor="text1"/>
                  <w:sz w:val="32"/>
                  <w:szCs w:val="32"/>
                  <w14:textFill>
                    <w14:solidFill>
                      <w14:schemeClr w14:val="tx1"/>
                    </w14:solidFill>
                  </w14:textFill>
                </w:rPr>
              </m:ctrlPr>
            </m:sSupPr>
            <m:e>
              <m:r>
                <m:rPr>
                  <m:sty m:val="p"/>
                </m:rPr>
                <w:rPr>
                  <w:rFonts w:ascii="Cambria Math" w:hAnsi="Cambria Math" w:eastAsia="方正仿宋简体"/>
                  <w:color w:val="000000" w:themeColor="text1"/>
                  <w:sz w:val="32"/>
                  <w:szCs w:val="32"/>
                  <w14:textFill>
                    <w14:solidFill>
                      <w14:schemeClr w14:val="tx1"/>
                    </w14:solidFill>
                  </w14:textFill>
                </w:rPr>
                <m:t>10</m:t>
              </m:r>
              <m:ctrlPr>
                <w:rPr>
                  <w:rFonts w:ascii="Cambria Math" w:hAnsi="Cambria Math" w:eastAsia="方正仿宋简体"/>
                  <w:color w:val="000000" w:themeColor="text1"/>
                  <w:sz w:val="32"/>
                  <w:szCs w:val="32"/>
                  <w14:textFill>
                    <w14:solidFill>
                      <w14:schemeClr w14:val="tx1"/>
                    </w14:solidFill>
                  </w14:textFill>
                </w:rPr>
              </m:ctrlPr>
            </m:e>
            <m:sup>
              <m:r>
                <m:rPr>
                  <m:sty m:val="p"/>
                </m:rPr>
                <w:rPr>
                  <w:rFonts w:ascii="Cambria Math" w:hAnsi="Cambria Math" w:eastAsia="MS Mincho"/>
                  <w:color w:val="000000" w:themeColor="text1"/>
                  <w:sz w:val="32"/>
                  <w:szCs w:val="32"/>
                  <w14:textFill>
                    <w14:solidFill>
                      <w14:schemeClr w14:val="tx1"/>
                    </w14:solidFill>
                  </w14:textFill>
                </w:rPr>
                <m:t>−</m:t>
              </m:r>
              <m:r>
                <m:rPr>
                  <m:sty m:val="p"/>
                </m:rPr>
                <w:rPr>
                  <w:rFonts w:ascii="Cambria Math" w:hAnsi="Cambria Math" w:eastAsia="方正仿宋简体"/>
                  <w:color w:val="000000" w:themeColor="text1"/>
                  <w:sz w:val="32"/>
                  <w:szCs w:val="32"/>
                  <w14:textFill>
                    <w14:solidFill>
                      <w14:schemeClr w14:val="tx1"/>
                    </w14:solidFill>
                  </w14:textFill>
                </w:rPr>
                <m:t>3</m:t>
              </m:r>
              <m:ctrlPr>
                <w:rPr>
                  <w:rFonts w:ascii="Cambria Math" w:hAnsi="Cambria Math" w:eastAsia="方正仿宋简体"/>
                  <w:color w:val="000000" w:themeColor="text1"/>
                  <w:sz w:val="32"/>
                  <w:szCs w:val="32"/>
                  <w14:textFill>
                    <w14:solidFill>
                      <w14:schemeClr w14:val="tx1"/>
                    </w14:solidFill>
                  </w14:textFill>
                </w:rPr>
              </m:ctrlPr>
            </m:sup>
          </m:sSup>
        </m:oMath>
      </m:oMathPara>
    </w:p>
    <w:p>
      <w:pPr>
        <w:spacing w:line="360" w:lineRule="auto"/>
        <w:ind w:firstLine="640" w:firstLineChars="200"/>
        <w:rPr>
          <w:rFonts w:ascii="Times New Roman" w:hAnsi="Times New Roman" w:eastAsia="方正仿宋简体"/>
          <w:color w:val="000000" w:themeColor="text1"/>
          <w:sz w:val="32"/>
          <w:szCs w:val="32"/>
          <w14:textFill>
            <w14:solidFill>
              <w14:schemeClr w14:val="tx1"/>
            </w14:solidFill>
          </w14:textFill>
        </w:rPr>
      </w:pPr>
      <m:oMathPara>
        <m:oMath>
          <m:sSub>
            <m:sSubPr>
              <m:ctrlPr>
                <w:rPr>
                  <w:rFonts w:ascii="Cambria Math" w:hAnsi="Cambria Math" w:eastAsia="方正仿宋简体"/>
                  <w:color w:val="000000" w:themeColor="text1"/>
                  <w:sz w:val="32"/>
                  <w:szCs w:val="32"/>
                  <w14:textFill>
                    <w14:solidFill>
                      <w14:schemeClr w14:val="tx1"/>
                    </w14:solidFill>
                  </w14:textFill>
                </w:rPr>
              </m:ctrlPr>
            </m:sSubPr>
            <m:e>
              <m:r>
                <m:rPr>
                  <m:sty m:val="p"/>
                </m:rPr>
                <w:rPr>
                  <w:rFonts w:ascii="Cambria Math" w:hAnsi="Cambria Math" w:eastAsia="方正仿宋简体"/>
                  <w:color w:val="000000" w:themeColor="text1"/>
                  <w:sz w:val="32"/>
                  <w:szCs w:val="32"/>
                  <w14:textFill>
                    <w14:solidFill>
                      <w14:schemeClr w14:val="tx1"/>
                    </w14:solidFill>
                  </w14:textFill>
                </w:rPr>
                <m:t>Q</m:t>
              </m:r>
              <m:ctrlPr>
                <w:rPr>
                  <w:rFonts w:ascii="Cambria Math" w:hAnsi="Cambria Math" w:eastAsia="方正仿宋简体"/>
                  <w:color w:val="000000" w:themeColor="text1"/>
                  <w:sz w:val="32"/>
                  <w:szCs w:val="32"/>
                  <w14:textFill>
                    <w14:solidFill>
                      <w14:schemeClr w14:val="tx1"/>
                    </w14:solidFill>
                  </w14:textFill>
                </w:rPr>
              </m:ctrlPr>
            </m:e>
            <m:sub>
              <m:r>
                <m:rPr>
                  <m:sty m:val="p"/>
                </m:rPr>
                <w:rPr>
                  <w:rFonts w:ascii="Cambria Math" w:hAnsi="Cambria Math" w:eastAsia="方正仿宋简体"/>
                  <w:color w:val="000000" w:themeColor="text1"/>
                  <w:sz w:val="32"/>
                  <w:szCs w:val="32"/>
                  <w14:textFill>
                    <w14:solidFill>
                      <w14:schemeClr w14:val="tx1"/>
                    </w14:solidFill>
                  </w14:textFill>
                </w:rPr>
                <m:t>j畜产</m:t>
              </m:r>
              <m:ctrlPr>
                <w:rPr>
                  <w:rFonts w:ascii="Cambria Math" w:hAnsi="Cambria Math" w:eastAsia="方正仿宋简体"/>
                  <w:color w:val="000000" w:themeColor="text1"/>
                  <w:sz w:val="32"/>
                  <w:szCs w:val="32"/>
                  <w14:textFill>
                    <w14:solidFill>
                      <w14:schemeClr w14:val="tx1"/>
                    </w14:solidFill>
                  </w14:textFill>
                </w:rPr>
              </m:ctrlPr>
            </m:sub>
          </m:sSub>
          <m:r>
            <m:rPr>
              <m:sty m:val="p"/>
            </m:rPr>
            <w:rPr>
              <w:rFonts w:ascii="Cambria Math" w:hAnsi="Cambria Math" w:eastAsia="方正仿宋简体"/>
              <w:color w:val="000000" w:themeColor="text1"/>
              <w:sz w:val="32"/>
              <w:szCs w:val="32"/>
              <w14:textFill>
                <w14:solidFill>
                  <w14:schemeClr w14:val="tx1"/>
                </w14:solidFill>
              </w14:textFill>
            </w:rPr>
            <m:t>=</m:t>
          </m:r>
          <m:nary>
            <m:naryPr>
              <m:chr m:val="∑"/>
              <m:limLoc m:val="undOvr"/>
              <m:ctrlPr>
                <w:rPr>
                  <w:rFonts w:ascii="Cambria Math" w:hAnsi="Cambria Math" w:eastAsia="方正仿宋简体"/>
                  <w:color w:val="000000" w:themeColor="text1"/>
                  <w:sz w:val="32"/>
                  <w:szCs w:val="32"/>
                  <w14:textFill>
                    <w14:solidFill>
                      <w14:schemeClr w14:val="tx1"/>
                    </w14:solidFill>
                  </w14:textFill>
                </w:rPr>
              </m:ctrlPr>
            </m:naryPr>
            <m:sub>
              <m:r>
                <m:rPr>
                  <m:sty m:val="p"/>
                </m:rPr>
                <w:rPr>
                  <w:rFonts w:ascii="Cambria Math" w:hAnsi="Cambria Math" w:eastAsia="方正仿宋简体"/>
                  <w:color w:val="000000" w:themeColor="text1"/>
                  <w:sz w:val="32"/>
                  <w:szCs w:val="32"/>
                  <w14:textFill>
                    <w14:solidFill>
                      <w14:schemeClr w14:val="tx1"/>
                    </w14:solidFill>
                  </w14:textFill>
                </w:rPr>
                <m:t>i</m:t>
              </m:r>
              <m:ctrlPr>
                <w:rPr>
                  <w:rFonts w:ascii="Cambria Math" w:hAnsi="Cambria Math" w:eastAsia="方正仿宋简体"/>
                  <w:color w:val="000000" w:themeColor="text1"/>
                  <w:sz w:val="32"/>
                  <w:szCs w:val="32"/>
                  <w14:textFill>
                    <w14:solidFill>
                      <w14:schemeClr w14:val="tx1"/>
                    </w14:solidFill>
                  </w14:textFill>
                </w:rPr>
              </m:ctrlPr>
            </m:sub>
            <m:sup>
              <m:r>
                <m:rPr>
                  <m:sty m:val="p"/>
                </m:rPr>
                <w:rPr>
                  <w:rFonts w:ascii="Cambria Math" w:hAnsi="Cambria Math" w:eastAsia="方正仿宋简体"/>
                  <w:color w:val="000000" w:themeColor="text1"/>
                  <w:sz w:val="32"/>
                  <w:szCs w:val="32"/>
                  <w14:textFill>
                    <w14:solidFill>
                      <w14:schemeClr w14:val="tx1"/>
                    </w14:solidFill>
                  </w14:textFill>
                </w:rPr>
                <m:t>n</m:t>
              </m:r>
              <m:ctrlPr>
                <w:rPr>
                  <w:rFonts w:ascii="Cambria Math" w:hAnsi="Cambria Math" w:eastAsia="方正仿宋简体"/>
                  <w:color w:val="000000" w:themeColor="text1"/>
                  <w:sz w:val="32"/>
                  <w:szCs w:val="32"/>
                  <w14:textFill>
                    <w14:solidFill>
                      <w14:schemeClr w14:val="tx1"/>
                    </w14:solidFill>
                  </w14:textFill>
                </w:rPr>
              </m:ctrlPr>
            </m:sup>
            <m:e>
              <m:r>
                <m:rPr>
                  <m:sty m:val="p"/>
                </m:rPr>
                <w:rPr>
                  <w:rFonts w:ascii="Cambria Math" w:hAnsi="Cambria Math" w:eastAsia="方正仿宋简体"/>
                  <w:color w:val="000000" w:themeColor="text1"/>
                  <w:sz w:val="32"/>
                  <w:szCs w:val="32"/>
                  <w14:textFill>
                    <w14:solidFill>
                      <w14:schemeClr w14:val="tx1"/>
                    </w14:solidFill>
                  </w14:textFill>
                </w:rPr>
                <m:t xml:space="preserve"> </m:t>
              </m:r>
              <m:ctrlPr>
                <w:rPr>
                  <w:rFonts w:ascii="Cambria Math" w:hAnsi="Cambria Math" w:eastAsia="方正仿宋简体"/>
                  <w:color w:val="000000" w:themeColor="text1"/>
                  <w:sz w:val="32"/>
                  <w:szCs w:val="32"/>
                  <w14:textFill>
                    <w14:solidFill>
                      <w14:schemeClr w14:val="tx1"/>
                    </w14:solidFill>
                  </w14:textFill>
                </w:rPr>
              </m:ctrlPr>
            </m:e>
          </m:nary>
          <m:sSub>
            <m:sSubPr>
              <m:ctrlPr>
                <w:rPr>
                  <w:rFonts w:ascii="Cambria Math" w:hAnsi="Cambria Math" w:eastAsia="方正仿宋简体"/>
                  <w:color w:val="000000" w:themeColor="text1"/>
                  <w:sz w:val="32"/>
                  <w:szCs w:val="32"/>
                  <w14:textFill>
                    <w14:solidFill>
                      <w14:schemeClr w14:val="tx1"/>
                    </w14:solidFill>
                  </w14:textFill>
                </w:rPr>
              </m:ctrlPr>
            </m:sSubPr>
            <m:e>
              <m:r>
                <m:rPr>
                  <m:sty m:val="p"/>
                </m:rPr>
                <w:rPr>
                  <w:rFonts w:ascii="Cambria Math" w:hAnsi="Cambria Math" w:eastAsia="方正仿宋简体"/>
                  <w:color w:val="000000" w:themeColor="text1"/>
                  <w:sz w:val="32"/>
                  <w:szCs w:val="32"/>
                  <w14:textFill>
                    <w14:solidFill>
                      <w14:schemeClr w14:val="tx1"/>
                    </w14:solidFill>
                  </w14:textFill>
                </w:rPr>
                <m:t>Q</m:t>
              </m:r>
              <m:ctrlPr>
                <w:rPr>
                  <w:rFonts w:ascii="Cambria Math" w:hAnsi="Cambria Math" w:eastAsia="方正仿宋简体"/>
                  <w:color w:val="000000" w:themeColor="text1"/>
                  <w:sz w:val="32"/>
                  <w:szCs w:val="32"/>
                  <w14:textFill>
                    <w14:solidFill>
                      <w14:schemeClr w14:val="tx1"/>
                    </w14:solidFill>
                  </w14:textFill>
                </w:rPr>
              </m:ctrlPr>
            </m:e>
            <m:sub>
              <m:r>
                <m:rPr>
                  <m:sty m:val="p"/>
                </m:rPr>
                <w:rPr>
                  <w:rFonts w:ascii="Cambria Math" w:hAnsi="Cambria Math" w:eastAsia="方正仿宋简体"/>
                  <w:color w:val="000000" w:themeColor="text1"/>
                  <w:sz w:val="32"/>
                  <w:szCs w:val="32"/>
                  <w14:textFill>
                    <w14:solidFill>
                      <w14:schemeClr w14:val="tx1"/>
                    </w14:solidFill>
                  </w14:textFill>
                </w:rPr>
                <m:t>ij畜产</m:t>
              </m:r>
              <m:ctrlPr>
                <w:rPr>
                  <w:rFonts w:ascii="Cambria Math" w:hAnsi="Cambria Math" w:eastAsia="方正仿宋简体"/>
                  <w:color w:val="000000" w:themeColor="text1"/>
                  <w:sz w:val="32"/>
                  <w:szCs w:val="32"/>
                  <w14:textFill>
                    <w14:solidFill>
                      <w14:schemeClr w14:val="tx1"/>
                    </w14:solidFill>
                  </w14:textFill>
                </w:rPr>
              </m:ctrlPr>
            </m:sub>
          </m:sSub>
        </m:oMath>
      </m:oMathPara>
    </w:p>
    <w:p>
      <w:pPr>
        <w:spacing w:line="360" w:lineRule="auto"/>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式中：Q</w:t>
      </w:r>
      <w:r>
        <w:rPr>
          <w:rFonts w:ascii="Times New Roman" w:hAnsi="Times New Roman" w:eastAsia="方正仿宋简体"/>
          <w:color w:val="000000" w:themeColor="text1"/>
          <w:sz w:val="32"/>
          <w:szCs w:val="32"/>
          <w:vertAlign w:val="subscript"/>
          <w14:textFill>
            <w14:solidFill>
              <w14:schemeClr w14:val="tx1"/>
            </w14:solidFill>
          </w14:textFill>
        </w:rPr>
        <w:t>ij畜产</w:t>
      </w:r>
      <w:r>
        <w:rPr>
          <w:rFonts w:ascii="Times New Roman" w:hAnsi="Times New Roman" w:eastAsia="方正仿宋简体"/>
          <w:color w:val="000000" w:themeColor="text1"/>
          <w:sz w:val="32"/>
          <w:szCs w:val="32"/>
          <w14:textFill>
            <w14:solidFill>
              <w14:schemeClr w14:val="tx1"/>
            </w14:solidFill>
          </w14:textFill>
        </w:rPr>
        <w:t>指区域内第i类畜禽养殖第j项污染物产生量（单位：吨）；</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q</w:t>
      </w:r>
      <w:r>
        <w:rPr>
          <w:rFonts w:ascii="Times New Roman" w:hAnsi="Times New Roman" w:eastAsia="方正仿宋简体"/>
          <w:color w:val="000000" w:themeColor="text1"/>
          <w:sz w:val="32"/>
          <w:szCs w:val="32"/>
          <w:vertAlign w:val="subscript"/>
          <w14:textFill>
            <w14:solidFill>
              <w14:schemeClr w14:val="tx1"/>
            </w14:solidFill>
          </w14:textFill>
        </w:rPr>
        <w:t>i规模</w:t>
      </w:r>
      <w:r>
        <w:rPr>
          <w:rFonts w:ascii="Times New Roman" w:hAnsi="Times New Roman" w:eastAsia="方正仿宋简体"/>
          <w:color w:val="000000" w:themeColor="text1"/>
          <w:sz w:val="32"/>
          <w:szCs w:val="32"/>
          <w14:textFill>
            <w14:solidFill>
              <w14:schemeClr w14:val="tx1"/>
            </w14:solidFill>
          </w14:textFill>
        </w:rPr>
        <w:t>指区域内第i类畜禽规模化养殖场的存/出栏量（单位：头/羽）；</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f</w:t>
      </w:r>
      <w:r>
        <w:rPr>
          <w:rFonts w:ascii="Times New Roman" w:hAnsi="Times New Roman" w:eastAsia="方正仿宋简体"/>
          <w:color w:val="000000" w:themeColor="text1"/>
          <w:sz w:val="32"/>
          <w:szCs w:val="32"/>
          <w:vertAlign w:val="subscript"/>
          <w14:textFill>
            <w14:solidFill>
              <w14:schemeClr w14:val="tx1"/>
            </w14:solidFill>
          </w14:textFill>
        </w:rPr>
        <w:t>ij规模</w:t>
      </w:r>
      <w:r>
        <w:rPr>
          <w:rFonts w:ascii="Times New Roman" w:hAnsi="Times New Roman" w:eastAsia="方正仿宋简体"/>
          <w:color w:val="000000" w:themeColor="text1"/>
          <w:sz w:val="32"/>
          <w:szCs w:val="32"/>
          <w14:textFill>
            <w14:solidFill>
              <w14:schemeClr w14:val="tx1"/>
            </w14:solidFill>
          </w14:textFill>
        </w:rPr>
        <w:t>指区域内第i类畜禽规模化畜禽养殖第j项污染物产污系数（单位：千克/头（羽））；</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q</w:t>
      </w:r>
      <w:r>
        <w:rPr>
          <w:rFonts w:ascii="Times New Roman" w:hAnsi="Times New Roman" w:eastAsia="方正仿宋简体"/>
          <w:color w:val="000000" w:themeColor="text1"/>
          <w:sz w:val="32"/>
          <w:szCs w:val="32"/>
          <w:vertAlign w:val="subscript"/>
          <w14:textFill>
            <w14:solidFill>
              <w14:schemeClr w14:val="tx1"/>
            </w14:solidFill>
          </w14:textFill>
        </w:rPr>
        <w:t>i养殖户</w:t>
      </w:r>
      <w:r>
        <w:rPr>
          <w:rFonts w:ascii="Times New Roman" w:hAnsi="Times New Roman" w:eastAsia="方正仿宋简体"/>
          <w:color w:val="000000" w:themeColor="text1"/>
          <w:sz w:val="32"/>
          <w:szCs w:val="32"/>
          <w14:textFill>
            <w14:solidFill>
              <w14:schemeClr w14:val="tx1"/>
            </w14:solidFill>
          </w14:textFill>
        </w:rPr>
        <w:t>指区域内第i类畜禽养殖户存/出栏量（单位：头/羽）；</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f</w:t>
      </w:r>
      <w:r>
        <w:rPr>
          <w:rFonts w:ascii="Times New Roman" w:hAnsi="Times New Roman" w:eastAsia="方正仿宋简体"/>
          <w:color w:val="000000" w:themeColor="text1"/>
          <w:sz w:val="32"/>
          <w:szCs w:val="32"/>
          <w:vertAlign w:val="subscript"/>
          <w14:textFill>
            <w14:solidFill>
              <w14:schemeClr w14:val="tx1"/>
            </w14:solidFill>
          </w14:textFill>
        </w:rPr>
        <w:t>ij养殖户</w:t>
      </w:r>
      <w:r>
        <w:rPr>
          <w:rFonts w:ascii="Times New Roman" w:hAnsi="Times New Roman" w:eastAsia="方正仿宋简体"/>
          <w:color w:val="000000" w:themeColor="text1"/>
          <w:sz w:val="32"/>
          <w:szCs w:val="32"/>
          <w14:textFill>
            <w14:solidFill>
              <w14:schemeClr w14:val="tx1"/>
            </w14:solidFill>
          </w14:textFill>
        </w:rPr>
        <w:t>指区域内第i类畜禽养殖户第j项污染物产污系数（单位：千克/头（羽））；</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Q</w:t>
      </w:r>
      <w:r>
        <w:rPr>
          <w:rFonts w:ascii="Times New Roman" w:hAnsi="Times New Roman" w:eastAsia="方正仿宋简体"/>
          <w:color w:val="000000" w:themeColor="text1"/>
          <w:sz w:val="32"/>
          <w:szCs w:val="32"/>
          <w:vertAlign w:val="subscript"/>
          <w14:textFill>
            <w14:solidFill>
              <w14:schemeClr w14:val="tx1"/>
            </w14:solidFill>
          </w14:textFill>
        </w:rPr>
        <w:t>j畜产</w:t>
      </w:r>
      <w:r>
        <w:rPr>
          <w:rFonts w:ascii="Times New Roman" w:hAnsi="Times New Roman" w:eastAsia="方正仿宋简体"/>
          <w:color w:val="000000" w:themeColor="text1"/>
          <w:sz w:val="32"/>
          <w:szCs w:val="32"/>
          <w14:textFill>
            <w14:solidFill>
              <w14:schemeClr w14:val="tx1"/>
            </w14:solidFill>
          </w14:textFill>
        </w:rPr>
        <w:t>指区域内畜禽养殖第j项污染物产生量（单位：吨）。</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污染物排放量计算公式如下：</w:t>
      </w:r>
    </w:p>
    <w:p>
      <w:pPr>
        <w:spacing w:line="360" w:lineRule="auto"/>
        <w:ind w:firstLine="640" w:firstLineChars="200"/>
        <w:rPr>
          <w:rFonts w:ascii="Times New Roman" w:hAnsi="Times New Roman" w:eastAsia="方正仿宋简体"/>
          <w:color w:val="000000" w:themeColor="text1"/>
          <w:sz w:val="32"/>
          <w:szCs w:val="32"/>
          <w14:textFill>
            <w14:solidFill>
              <w14:schemeClr w14:val="tx1"/>
            </w14:solidFill>
          </w14:textFill>
        </w:rPr>
      </w:pPr>
      <m:oMathPara>
        <m:oMath>
          <m:sSub>
            <m:sSubPr>
              <m:ctrlPr>
                <w:rPr>
                  <w:rFonts w:ascii="Cambria Math" w:hAnsi="Cambria Math" w:eastAsia="方正仿宋简体"/>
                  <w:color w:val="000000" w:themeColor="text1"/>
                  <w:sz w:val="32"/>
                  <w:szCs w:val="32"/>
                  <w14:textFill>
                    <w14:solidFill>
                      <w14:schemeClr w14:val="tx1"/>
                    </w14:solidFill>
                  </w14:textFill>
                </w:rPr>
              </m:ctrlPr>
            </m:sSubPr>
            <m:e>
              <m:r>
                <m:rPr>
                  <m:sty m:val="p"/>
                </m:rPr>
                <w:rPr>
                  <w:rFonts w:ascii="Cambria Math" w:hAnsi="Cambria Math" w:eastAsia="方正仿宋简体"/>
                  <w:color w:val="000000" w:themeColor="text1"/>
                  <w:sz w:val="32"/>
                  <w:szCs w:val="32"/>
                  <w14:textFill>
                    <w14:solidFill>
                      <w14:schemeClr w14:val="tx1"/>
                    </w14:solidFill>
                  </w14:textFill>
                </w:rPr>
                <m:t>Q</m:t>
              </m:r>
              <m:ctrlPr>
                <w:rPr>
                  <w:rFonts w:ascii="Cambria Math" w:hAnsi="Cambria Math" w:eastAsia="方正仿宋简体"/>
                  <w:color w:val="000000" w:themeColor="text1"/>
                  <w:sz w:val="32"/>
                  <w:szCs w:val="32"/>
                  <w14:textFill>
                    <w14:solidFill>
                      <w14:schemeClr w14:val="tx1"/>
                    </w14:solidFill>
                  </w14:textFill>
                </w:rPr>
              </m:ctrlPr>
            </m:e>
            <m:sub>
              <m:r>
                <m:rPr>
                  <m:sty m:val="p"/>
                </m:rPr>
                <w:rPr>
                  <w:rFonts w:ascii="Cambria Math" w:hAnsi="Cambria Math" w:eastAsia="方正仿宋简体"/>
                  <w:color w:val="000000" w:themeColor="text1"/>
                  <w:sz w:val="32"/>
                  <w:szCs w:val="32"/>
                  <w14:textFill>
                    <w14:solidFill>
                      <w14:schemeClr w14:val="tx1"/>
                    </w14:solidFill>
                  </w14:textFill>
                </w:rPr>
                <m:t>ij畜排</m:t>
              </m:r>
              <m:ctrlPr>
                <w:rPr>
                  <w:rFonts w:ascii="Cambria Math" w:hAnsi="Cambria Math" w:eastAsia="方正仿宋简体"/>
                  <w:color w:val="000000" w:themeColor="text1"/>
                  <w:sz w:val="32"/>
                  <w:szCs w:val="32"/>
                  <w14:textFill>
                    <w14:solidFill>
                      <w14:schemeClr w14:val="tx1"/>
                    </w14:solidFill>
                  </w14:textFill>
                </w:rPr>
              </m:ctrlPr>
            </m:sub>
          </m:sSub>
          <m:r>
            <m:rPr>
              <m:sty m:val="p"/>
            </m:rPr>
            <w:rPr>
              <w:rFonts w:ascii="Cambria Math" w:hAnsi="Cambria Math" w:eastAsia="方正仿宋简体"/>
              <w:color w:val="000000" w:themeColor="text1"/>
              <w:sz w:val="32"/>
              <w:szCs w:val="32"/>
              <w14:textFill>
                <w14:solidFill>
                  <w14:schemeClr w14:val="tx1"/>
                </w14:solidFill>
              </w14:textFill>
            </w:rPr>
            <m:t>=（</m:t>
          </m:r>
          <m:sSub>
            <m:sSubPr>
              <m:ctrlPr>
                <w:rPr>
                  <w:rFonts w:ascii="Cambria Math" w:hAnsi="Cambria Math" w:eastAsia="方正仿宋简体"/>
                  <w:color w:val="000000" w:themeColor="text1"/>
                  <w:sz w:val="32"/>
                  <w:szCs w:val="32"/>
                  <w14:textFill>
                    <w14:solidFill>
                      <w14:schemeClr w14:val="tx1"/>
                    </w14:solidFill>
                  </w14:textFill>
                </w:rPr>
              </m:ctrlPr>
            </m:sSubPr>
            <m:e>
              <m:r>
                <m:rPr>
                  <m:sty m:val="p"/>
                </m:rPr>
                <w:rPr>
                  <w:rFonts w:ascii="Cambria Math" w:hAnsi="Cambria Math" w:eastAsia="方正仿宋简体"/>
                  <w:color w:val="000000" w:themeColor="text1"/>
                  <w:sz w:val="32"/>
                  <w:szCs w:val="32"/>
                  <w14:textFill>
                    <w14:solidFill>
                      <w14:schemeClr w14:val="tx1"/>
                    </w14:solidFill>
                  </w14:textFill>
                </w:rPr>
                <m:t>q</m:t>
              </m:r>
              <m:ctrlPr>
                <w:rPr>
                  <w:rFonts w:ascii="Cambria Math" w:hAnsi="Cambria Math" w:eastAsia="方正仿宋简体"/>
                  <w:color w:val="000000" w:themeColor="text1"/>
                  <w:sz w:val="32"/>
                  <w:szCs w:val="32"/>
                  <w14:textFill>
                    <w14:solidFill>
                      <w14:schemeClr w14:val="tx1"/>
                    </w14:solidFill>
                  </w14:textFill>
                </w:rPr>
              </m:ctrlPr>
            </m:e>
            <m:sub>
              <m:r>
                <m:rPr>
                  <m:sty m:val="p"/>
                </m:rPr>
                <w:rPr>
                  <w:rFonts w:ascii="Cambria Math" w:hAnsi="Cambria Math" w:eastAsia="方正仿宋简体"/>
                  <w:color w:val="000000" w:themeColor="text1"/>
                  <w:sz w:val="32"/>
                  <w:szCs w:val="32"/>
                  <w14:textFill>
                    <w14:solidFill>
                      <w14:schemeClr w14:val="tx1"/>
                    </w14:solidFill>
                  </w14:textFill>
                </w:rPr>
                <m:t>i规模</m:t>
              </m:r>
              <m:ctrlPr>
                <w:rPr>
                  <w:rFonts w:ascii="Cambria Math" w:hAnsi="Cambria Math" w:eastAsia="方正仿宋简体"/>
                  <w:color w:val="000000" w:themeColor="text1"/>
                  <w:sz w:val="32"/>
                  <w:szCs w:val="32"/>
                  <w14:textFill>
                    <w14:solidFill>
                      <w14:schemeClr w14:val="tx1"/>
                    </w14:solidFill>
                  </w14:textFill>
                </w:rPr>
              </m:ctrlPr>
            </m:sub>
          </m:sSub>
          <m:r>
            <m:rPr>
              <m:sty m:val="p"/>
            </m:rPr>
            <w:rPr>
              <w:rFonts w:ascii="Cambria Math" w:hAnsi="Cambria Math" w:eastAsia="方正仿宋简体"/>
              <w:color w:val="000000" w:themeColor="text1"/>
              <w:sz w:val="32"/>
              <w:szCs w:val="32"/>
              <w14:textFill>
                <w14:solidFill>
                  <w14:schemeClr w14:val="tx1"/>
                </w14:solidFill>
              </w14:textFill>
            </w:rPr>
            <m:t>×</m:t>
          </m:r>
          <m:sSub>
            <m:sSubPr>
              <m:ctrlPr>
                <w:rPr>
                  <w:rFonts w:ascii="Cambria Math" w:hAnsi="Cambria Math" w:eastAsia="方正仿宋简体"/>
                  <w:color w:val="000000" w:themeColor="text1"/>
                  <w:sz w:val="32"/>
                  <w:szCs w:val="32"/>
                  <w14:textFill>
                    <w14:solidFill>
                      <w14:schemeClr w14:val="tx1"/>
                    </w14:solidFill>
                  </w14:textFill>
                </w:rPr>
              </m:ctrlPr>
            </m:sSubPr>
            <m:e>
              <m:r>
                <m:rPr>
                  <m:sty m:val="p"/>
                </m:rPr>
                <w:rPr>
                  <w:rFonts w:ascii="Cambria Math" w:hAnsi="Cambria Math" w:eastAsia="方正仿宋简体"/>
                  <w:color w:val="000000" w:themeColor="text1"/>
                  <w:sz w:val="32"/>
                  <w:szCs w:val="32"/>
                  <w14:textFill>
                    <w14:solidFill>
                      <w14:schemeClr w14:val="tx1"/>
                    </w14:solidFill>
                  </w14:textFill>
                </w:rPr>
                <m:t>e</m:t>
              </m:r>
              <m:ctrlPr>
                <w:rPr>
                  <w:rFonts w:ascii="Cambria Math" w:hAnsi="Cambria Math" w:eastAsia="方正仿宋简体"/>
                  <w:color w:val="000000" w:themeColor="text1"/>
                  <w:sz w:val="32"/>
                  <w:szCs w:val="32"/>
                  <w14:textFill>
                    <w14:solidFill>
                      <w14:schemeClr w14:val="tx1"/>
                    </w14:solidFill>
                  </w14:textFill>
                </w:rPr>
              </m:ctrlPr>
            </m:e>
            <m:sub>
              <m:r>
                <m:rPr>
                  <m:sty m:val="p"/>
                </m:rPr>
                <w:rPr>
                  <w:rFonts w:ascii="Cambria Math" w:hAnsi="Cambria Math" w:eastAsia="方正仿宋简体"/>
                  <w:color w:val="000000" w:themeColor="text1"/>
                  <w:sz w:val="32"/>
                  <w:szCs w:val="32"/>
                  <w14:textFill>
                    <w14:solidFill>
                      <w14:schemeClr w14:val="tx1"/>
                    </w14:solidFill>
                  </w14:textFill>
                </w:rPr>
                <m:t>ij规模</m:t>
              </m:r>
              <m:ctrlPr>
                <w:rPr>
                  <w:rFonts w:ascii="Cambria Math" w:hAnsi="Cambria Math" w:eastAsia="方正仿宋简体"/>
                  <w:color w:val="000000" w:themeColor="text1"/>
                  <w:sz w:val="32"/>
                  <w:szCs w:val="32"/>
                  <w14:textFill>
                    <w14:solidFill>
                      <w14:schemeClr w14:val="tx1"/>
                    </w14:solidFill>
                  </w14:textFill>
                </w:rPr>
              </m:ctrlPr>
            </m:sub>
          </m:sSub>
          <m:r>
            <m:rPr>
              <m:sty m:val="p"/>
            </m:rPr>
            <w:rPr>
              <w:rFonts w:ascii="Cambria Math" w:hAnsi="Cambria Math" w:eastAsia="方正仿宋简体"/>
              <w:color w:val="000000" w:themeColor="text1"/>
              <w:sz w:val="32"/>
              <w:szCs w:val="32"/>
              <w14:textFill>
                <w14:solidFill>
                  <w14:schemeClr w14:val="tx1"/>
                </w14:solidFill>
              </w14:textFill>
            </w:rPr>
            <m:t>+</m:t>
          </m:r>
          <m:sSub>
            <m:sSubPr>
              <m:ctrlPr>
                <w:rPr>
                  <w:rFonts w:ascii="Cambria Math" w:hAnsi="Cambria Math" w:eastAsia="方正仿宋简体"/>
                  <w:color w:val="000000" w:themeColor="text1"/>
                  <w:sz w:val="32"/>
                  <w:szCs w:val="32"/>
                  <w14:textFill>
                    <w14:solidFill>
                      <w14:schemeClr w14:val="tx1"/>
                    </w14:solidFill>
                  </w14:textFill>
                </w:rPr>
              </m:ctrlPr>
            </m:sSubPr>
            <m:e>
              <m:r>
                <m:rPr>
                  <m:sty m:val="p"/>
                </m:rPr>
                <w:rPr>
                  <w:rFonts w:ascii="Cambria Math" w:hAnsi="Cambria Math" w:eastAsia="方正仿宋简体"/>
                  <w:color w:val="000000" w:themeColor="text1"/>
                  <w:sz w:val="32"/>
                  <w:szCs w:val="32"/>
                  <w14:textFill>
                    <w14:solidFill>
                      <w14:schemeClr w14:val="tx1"/>
                    </w14:solidFill>
                  </w14:textFill>
                </w:rPr>
                <m:t>q</m:t>
              </m:r>
              <m:ctrlPr>
                <w:rPr>
                  <w:rFonts w:ascii="Cambria Math" w:hAnsi="Cambria Math" w:eastAsia="方正仿宋简体"/>
                  <w:color w:val="000000" w:themeColor="text1"/>
                  <w:sz w:val="32"/>
                  <w:szCs w:val="32"/>
                  <w14:textFill>
                    <w14:solidFill>
                      <w14:schemeClr w14:val="tx1"/>
                    </w14:solidFill>
                  </w14:textFill>
                </w:rPr>
              </m:ctrlPr>
            </m:e>
            <m:sub>
              <m:r>
                <m:rPr>
                  <m:sty m:val="p"/>
                </m:rPr>
                <w:rPr>
                  <w:rFonts w:ascii="Cambria Math" w:hAnsi="Cambria Math" w:eastAsia="方正仿宋简体"/>
                  <w:color w:val="000000" w:themeColor="text1"/>
                  <w:sz w:val="32"/>
                  <w:szCs w:val="32"/>
                  <w14:textFill>
                    <w14:solidFill>
                      <w14:schemeClr w14:val="tx1"/>
                    </w14:solidFill>
                  </w14:textFill>
                </w:rPr>
                <m:t>i养殖户</m:t>
              </m:r>
              <m:ctrlPr>
                <w:rPr>
                  <w:rFonts w:ascii="Cambria Math" w:hAnsi="Cambria Math" w:eastAsia="方正仿宋简体"/>
                  <w:color w:val="000000" w:themeColor="text1"/>
                  <w:sz w:val="32"/>
                  <w:szCs w:val="32"/>
                  <w14:textFill>
                    <w14:solidFill>
                      <w14:schemeClr w14:val="tx1"/>
                    </w14:solidFill>
                  </w14:textFill>
                </w:rPr>
              </m:ctrlPr>
            </m:sub>
          </m:sSub>
          <m:r>
            <m:rPr>
              <m:sty m:val="p"/>
            </m:rPr>
            <w:rPr>
              <w:rFonts w:ascii="Cambria Math" w:hAnsi="Cambria Math" w:eastAsia="方正仿宋简体"/>
              <w:color w:val="000000" w:themeColor="text1"/>
              <w:sz w:val="32"/>
              <w:szCs w:val="32"/>
              <w14:textFill>
                <w14:solidFill>
                  <w14:schemeClr w14:val="tx1"/>
                </w14:solidFill>
              </w14:textFill>
            </w:rPr>
            <m:t>×</m:t>
          </m:r>
          <m:sSub>
            <m:sSubPr>
              <m:ctrlPr>
                <w:rPr>
                  <w:rFonts w:ascii="Cambria Math" w:hAnsi="Cambria Math" w:eastAsia="方正仿宋简体"/>
                  <w:color w:val="000000" w:themeColor="text1"/>
                  <w:sz w:val="32"/>
                  <w:szCs w:val="32"/>
                  <w14:textFill>
                    <w14:solidFill>
                      <w14:schemeClr w14:val="tx1"/>
                    </w14:solidFill>
                  </w14:textFill>
                </w:rPr>
              </m:ctrlPr>
            </m:sSubPr>
            <m:e>
              <m:r>
                <m:rPr>
                  <m:sty m:val="p"/>
                </m:rPr>
                <w:rPr>
                  <w:rFonts w:ascii="Cambria Math" w:hAnsi="Cambria Math" w:eastAsia="方正仿宋简体"/>
                  <w:color w:val="000000" w:themeColor="text1"/>
                  <w:sz w:val="32"/>
                  <w:szCs w:val="32"/>
                  <w14:textFill>
                    <w14:solidFill>
                      <w14:schemeClr w14:val="tx1"/>
                    </w14:solidFill>
                  </w14:textFill>
                </w:rPr>
                <m:t>e</m:t>
              </m:r>
              <m:ctrlPr>
                <w:rPr>
                  <w:rFonts w:ascii="Cambria Math" w:hAnsi="Cambria Math" w:eastAsia="方正仿宋简体"/>
                  <w:color w:val="000000" w:themeColor="text1"/>
                  <w:sz w:val="32"/>
                  <w:szCs w:val="32"/>
                  <w14:textFill>
                    <w14:solidFill>
                      <w14:schemeClr w14:val="tx1"/>
                    </w14:solidFill>
                  </w14:textFill>
                </w:rPr>
              </m:ctrlPr>
            </m:e>
            <m:sub>
              <m:r>
                <m:rPr>
                  <m:sty m:val="p"/>
                </m:rPr>
                <w:rPr>
                  <w:rFonts w:ascii="Cambria Math" w:hAnsi="Cambria Math" w:eastAsia="方正仿宋简体"/>
                  <w:color w:val="000000" w:themeColor="text1"/>
                  <w:sz w:val="32"/>
                  <w:szCs w:val="32"/>
                  <w14:textFill>
                    <w14:solidFill>
                      <w14:schemeClr w14:val="tx1"/>
                    </w14:solidFill>
                  </w14:textFill>
                </w:rPr>
                <m:t>ij养殖户</m:t>
              </m:r>
              <m:ctrlPr>
                <w:rPr>
                  <w:rFonts w:ascii="Cambria Math" w:hAnsi="Cambria Math" w:eastAsia="方正仿宋简体"/>
                  <w:color w:val="000000" w:themeColor="text1"/>
                  <w:sz w:val="32"/>
                  <w:szCs w:val="32"/>
                  <w14:textFill>
                    <w14:solidFill>
                      <w14:schemeClr w14:val="tx1"/>
                    </w14:solidFill>
                  </w14:textFill>
                </w:rPr>
              </m:ctrlPr>
            </m:sub>
          </m:sSub>
          <m:r>
            <m:rPr>
              <m:sty m:val="p"/>
            </m:rPr>
            <w:rPr>
              <w:rFonts w:ascii="Cambria Math" w:hAnsi="Cambria Math" w:eastAsia="方正仿宋简体"/>
              <w:color w:val="000000" w:themeColor="text1"/>
              <w:sz w:val="32"/>
              <w:szCs w:val="32"/>
              <w14:textFill>
                <w14:solidFill>
                  <w14:schemeClr w14:val="tx1"/>
                </w14:solidFill>
              </w14:textFill>
            </w:rPr>
            <m:t>）×</m:t>
          </m:r>
          <m:sSup>
            <m:sSupPr>
              <m:ctrlPr>
                <w:rPr>
                  <w:rFonts w:ascii="Cambria Math" w:hAnsi="Cambria Math" w:eastAsia="方正仿宋简体"/>
                  <w:color w:val="000000" w:themeColor="text1"/>
                  <w:sz w:val="32"/>
                  <w:szCs w:val="32"/>
                  <w14:textFill>
                    <w14:solidFill>
                      <w14:schemeClr w14:val="tx1"/>
                    </w14:solidFill>
                  </w14:textFill>
                </w:rPr>
              </m:ctrlPr>
            </m:sSupPr>
            <m:e>
              <m:r>
                <m:rPr>
                  <m:sty m:val="p"/>
                </m:rPr>
                <w:rPr>
                  <w:rFonts w:ascii="Cambria Math" w:hAnsi="Cambria Math" w:eastAsia="方正仿宋简体"/>
                  <w:color w:val="000000" w:themeColor="text1"/>
                  <w:sz w:val="32"/>
                  <w:szCs w:val="32"/>
                  <w14:textFill>
                    <w14:solidFill>
                      <w14:schemeClr w14:val="tx1"/>
                    </w14:solidFill>
                  </w14:textFill>
                </w:rPr>
                <m:t>10</m:t>
              </m:r>
              <m:ctrlPr>
                <w:rPr>
                  <w:rFonts w:ascii="Cambria Math" w:hAnsi="Cambria Math" w:eastAsia="方正仿宋简体"/>
                  <w:color w:val="000000" w:themeColor="text1"/>
                  <w:sz w:val="32"/>
                  <w:szCs w:val="32"/>
                  <w14:textFill>
                    <w14:solidFill>
                      <w14:schemeClr w14:val="tx1"/>
                    </w14:solidFill>
                  </w14:textFill>
                </w:rPr>
              </m:ctrlPr>
            </m:e>
            <m:sup>
              <m:r>
                <m:rPr>
                  <m:sty m:val="p"/>
                </m:rPr>
                <w:rPr>
                  <w:rFonts w:ascii="Cambria Math" w:hAnsi="Cambria Math" w:eastAsia="MS Mincho"/>
                  <w:color w:val="000000" w:themeColor="text1"/>
                  <w:sz w:val="32"/>
                  <w:szCs w:val="32"/>
                  <w14:textFill>
                    <w14:solidFill>
                      <w14:schemeClr w14:val="tx1"/>
                    </w14:solidFill>
                  </w14:textFill>
                </w:rPr>
                <m:t>−</m:t>
              </m:r>
              <m:r>
                <m:rPr>
                  <m:sty m:val="p"/>
                </m:rPr>
                <w:rPr>
                  <w:rFonts w:ascii="Cambria Math" w:hAnsi="Cambria Math" w:eastAsia="方正仿宋简体"/>
                  <w:color w:val="000000" w:themeColor="text1"/>
                  <w:sz w:val="32"/>
                  <w:szCs w:val="32"/>
                  <w14:textFill>
                    <w14:solidFill>
                      <w14:schemeClr w14:val="tx1"/>
                    </w14:solidFill>
                  </w14:textFill>
                </w:rPr>
                <m:t>3</m:t>
              </m:r>
              <m:ctrlPr>
                <w:rPr>
                  <w:rFonts w:ascii="Cambria Math" w:hAnsi="Cambria Math" w:eastAsia="方正仿宋简体"/>
                  <w:color w:val="000000" w:themeColor="text1"/>
                  <w:sz w:val="32"/>
                  <w:szCs w:val="32"/>
                  <w14:textFill>
                    <w14:solidFill>
                      <w14:schemeClr w14:val="tx1"/>
                    </w14:solidFill>
                  </w14:textFill>
                </w:rPr>
              </m:ctrlPr>
            </m:sup>
          </m:sSup>
        </m:oMath>
      </m:oMathPara>
    </w:p>
    <w:p>
      <w:pPr>
        <w:spacing w:line="360" w:lineRule="auto"/>
        <w:ind w:firstLine="640" w:firstLineChars="200"/>
        <w:rPr>
          <w:rFonts w:ascii="Times New Roman" w:hAnsi="Times New Roman" w:eastAsia="方正仿宋简体"/>
          <w:color w:val="000000" w:themeColor="text1"/>
          <w:sz w:val="32"/>
          <w:szCs w:val="32"/>
          <w14:textFill>
            <w14:solidFill>
              <w14:schemeClr w14:val="tx1"/>
            </w14:solidFill>
          </w14:textFill>
        </w:rPr>
      </w:pPr>
      <m:oMathPara>
        <m:oMath>
          <m:sSub>
            <m:sSubPr>
              <m:ctrlPr>
                <w:rPr>
                  <w:rFonts w:ascii="Cambria Math" w:hAnsi="Cambria Math" w:eastAsia="方正仿宋简体"/>
                  <w:color w:val="000000" w:themeColor="text1"/>
                  <w:sz w:val="32"/>
                  <w:szCs w:val="32"/>
                  <w14:textFill>
                    <w14:solidFill>
                      <w14:schemeClr w14:val="tx1"/>
                    </w14:solidFill>
                  </w14:textFill>
                </w:rPr>
              </m:ctrlPr>
            </m:sSubPr>
            <m:e>
              <m:r>
                <m:rPr>
                  <m:sty m:val="p"/>
                </m:rPr>
                <w:rPr>
                  <w:rFonts w:ascii="Cambria Math" w:hAnsi="Cambria Math" w:eastAsia="方正仿宋简体"/>
                  <w:color w:val="000000" w:themeColor="text1"/>
                  <w:sz w:val="32"/>
                  <w:szCs w:val="32"/>
                  <w14:textFill>
                    <w14:solidFill>
                      <w14:schemeClr w14:val="tx1"/>
                    </w14:solidFill>
                  </w14:textFill>
                </w:rPr>
                <m:t>Q</m:t>
              </m:r>
              <m:ctrlPr>
                <w:rPr>
                  <w:rFonts w:ascii="Cambria Math" w:hAnsi="Cambria Math" w:eastAsia="方正仿宋简体"/>
                  <w:color w:val="000000" w:themeColor="text1"/>
                  <w:sz w:val="32"/>
                  <w:szCs w:val="32"/>
                  <w14:textFill>
                    <w14:solidFill>
                      <w14:schemeClr w14:val="tx1"/>
                    </w14:solidFill>
                  </w14:textFill>
                </w:rPr>
              </m:ctrlPr>
            </m:e>
            <m:sub>
              <m:r>
                <m:rPr>
                  <m:sty m:val="p"/>
                </m:rPr>
                <w:rPr>
                  <w:rFonts w:ascii="Cambria Math" w:hAnsi="Cambria Math" w:eastAsia="方正仿宋简体"/>
                  <w:color w:val="000000" w:themeColor="text1"/>
                  <w:sz w:val="32"/>
                  <w:szCs w:val="32"/>
                  <w14:textFill>
                    <w14:solidFill>
                      <w14:schemeClr w14:val="tx1"/>
                    </w14:solidFill>
                  </w14:textFill>
                </w:rPr>
                <m:t>j畜排</m:t>
              </m:r>
              <m:ctrlPr>
                <w:rPr>
                  <w:rFonts w:ascii="Cambria Math" w:hAnsi="Cambria Math" w:eastAsia="方正仿宋简体"/>
                  <w:color w:val="000000" w:themeColor="text1"/>
                  <w:sz w:val="32"/>
                  <w:szCs w:val="32"/>
                  <w14:textFill>
                    <w14:solidFill>
                      <w14:schemeClr w14:val="tx1"/>
                    </w14:solidFill>
                  </w14:textFill>
                </w:rPr>
              </m:ctrlPr>
            </m:sub>
          </m:sSub>
          <m:r>
            <m:rPr>
              <m:sty m:val="p"/>
            </m:rPr>
            <w:rPr>
              <w:rFonts w:ascii="Cambria Math" w:hAnsi="Cambria Math" w:eastAsia="方正仿宋简体"/>
              <w:color w:val="000000" w:themeColor="text1"/>
              <w:sz w:val="32"/>
              <w:szCs w:val="32"/>
              <w14:textFill>
                <w14:solidFill>
                  <w14:schemeClr w14:val="tx1"/>
                </w14:solidFill>
              </w14:textFill>
            </w:rPr>
            <m:t>=</m:t>
          </m:r>
          <m:nary>
            <m:naryPr>
              <m:chr m:val="∑"/>
              <m:limLoc m:val="undOvr"/>
              <m:ctrlPr>
                <w:rPr>
                  <w:rFonts w:ascii="Cambria Math" w:hAnsi="Cambria Math" w:eastAsia="方正仿宋简体"/>
                  <w:color w:val="000000" w:themeColor="text1"/>
                  <w:sz w:val="32"/>
                  <w:szCs w:val="32"/>
                  <w14:textFill>
                    <w14:solidFill>
                      <w14:schemeClr w14:val="tx1"/>
                    </w14:solidFill>
                  </w14:textFill>
                </w:rPr>
              </m:ctrlPr>
            </m:naryPr>
            <m:sub>
              <m:r>
                <m:rPr>
                  <m:sty m:val="p"/>
                </m:rPr>
                <w:rPr>
                  <w:rFonts w:ascii="Cambria Math" w:hAnsi="Cambria Math" w:eastAsia="方正仿宋简体"/>
                  <w:color w:val="000000" w:themeColor="text1"/>
                  <w:sz w:val="32"/>
                  <w:szCs w:val="32"/>
                  <w14:textFill>
                    <w14:solidFill>
                      <w14:schemeClr w14:val="tx1"/>
                    </w14:solidFill>
                  </w14:textFill>
                </w:rPr>
                <m:t>i</m:t>
              </m:r>
              <m:ctrlPr>
                <w:rPr>
                  <w:rFonts w:ascii="Cambria Math" w:hAnsi="Cambria Math" w:eastAsia="方正仿宋简体"/>
                  <w:color w:val="000000" w:themeColor="text1"/>
                  <w:sz w:val="32"/>
                  <w:szCs w:val="32"/>
                  <w14:textFill>
                    <w14:solidFill>
                      <w14:schemeClr w14:val="tx1"/>
                    </w14:solidFill>
                  </w14:textFill>
                </w:rPr>
              </m:ctrlPr>
            </m:sub>
            <m:sup>
              <m:r>
                <m:rPr>
                  <m:sty m:val="p"/>
                </m:rPr>
                <w:rPr>
                  <w:rFonts w:ascii="Cambria Math" w:hAnsi="Cambria Math" w:eastAsia="方正仿宋简体"/>
                  <w:color w:val="000000" w:themeColor="text1"/>
                  <w:sz w:val="32"/>
                  <w:szCs w:val="32"/>
                  <w14:textFill>
                    <w14:solidFill>
                      <w14:schemeClr w14:val="tx1"/>
                    </w14:solidFill>
                  </w14:textFill>
                </w:rPr>
                <m:t>n</m:t>
              </m:r>
              <m:ctrlPr>
                <w:rPr>
                  <w:rFonts w:ascii="Cambria Math" w:hAnsi="Cambria Math" w:eastAsia="方正仿宋简体"/>
                  <w:color w:val="000000" w:themeColor="text1"/>
                  <w:sz w:val="32"/>
                  <w:szCs w:val="32"/>
                  <w14:textFill>
                    <w14:solidFill>
                      <w14:schemeClr w14:val="tx1"/>
                    </w14:solidFill>
                  </w14:textFill>
                </w:rPr>
              </m:ctrlPr>
            </m:sup>
            <m:e>
              <m:r>
                <m:rPr>
                  <m:sty m:val="p"/>
                </m:rPr>
                <w:rPr>
                  <w:rFonts w:ascii="Cambria Math" w:hAnsi="Cambria Math" w:eastAsia="方正仿宋简体"/>
                  <w:color w:val="000000" w:themeColor="text1"/>
                  <w:sz w:val="32"/>
                  <w:szCs w:val="32"/>
                  <w14:textFill>
                    <w14:solidFill>
                      <w14:schemeClr w14:val="tx1"/>
                    </w14:solidFill>
                  </w14:textFill>
                </w:rPr>
                <m:t xml:space="preserve"> </m:t>
              </m:r>
              <m:ctrlPr>
                <w:rPr>
                  <w:rFonts w:ascii="Cambria Math" w:hAnsi="Cambria Math" w:eastAsia="方正仿宋简体"/>
                  <w:color w:val="000000" w:themeColor="text1"/>
                  <w:sz w:val="32"/>
                  <w:szCs w:val="32"/>
                  <w14:textFill>
                    <w14:solidFill>
                      <w14:schemeClr w14:val="tx1"/>
                    </w14:solidFill>
                  </w14:textFill>
                </w:rPr>
              </m:ctrlPr>
            </m:e>
          </m:nary>
          <m:sSub>
            <m:sSubPr>
              <m:ctrlPr>
                <w:rPr>
                  <w:rFonts w:ascii="Cambria Math" w:hAnsi="Cambria Math" w:eastAsia="方正仿宋简体"/>
                  <w:color w:val="000000" w:themeColor="text1"/>
                  <w:sz w:val="32"/>
                  <w:szCs w:val="32"/>
                  <w14:textFill>
                    <w14:solidFill>
                      <w14:schemeClr w14:val="tx1"/>
                    </w14:solidFill>
                  </w14:textFill>
                </w:rPr>
              </m:ctrlPr>
            </m:sSubPr>
            <m:e>
              <m:r>
                <m:rPr>
                  <m:sty m:val="p"/>
                </m:rPr>
                <w:rPr>
                  <w:rFonts w:ascii="Cambria Math" w:hAnsi="Cambria Math" w:eastAsia="方正仿宋简体"/>
                  <w:color w:val="000000" w:themeColor="text1"/>
                  <w:sz w:val="32"/>
                  <w:szCs w:val="32"/>
                  <w14:textFill>
                    <w14:solidFill>
                      <w14:schemeClr w14:val="tx1"/>
                    </w14:solidFill>
                  </w14:textFill>
                </w:rPr>
                <m:t>Q</m:t>
              </m:r>
              <m:ctrlPr>
                <w:rPr>
                  <w:rFonts w:ascii="Cambria Math" w:hAnsi="Cambria Math" w:eastAsia="方正仿宋简体"/>
                  <w:color w:val="000000" w:themeColor="text1"/>
                  <w:sz w:val="32"/>
                  <w:szCs w:val="32"/>
                  <w14:textFill>
                    <w14:solidFill>
                      <w14:schemeClr w14:val="tx1"/>
                    </w14:solidFill>
                  </w14:textFill>
                </w:rPr>
              </m:ctrlPr>
            </m:e>
            <m:sub>
              <m:r>
                <m:rPr>
                  <m:sty m:val="p"/>
                </m:rPr>
                <w:rPr>
                  <w:rFonts w:ascii="Cambria Math" w:hAnsi="Cambria Math" w:eastAsia="方正仿宋简体"/>
                  <w:color w:val="000000" w:themeColor="text1"/>
                  <w:sz w:val="32"/>
                  <w:szCs w:val="32"/>
                  <w14:textFill>
                    <w14:solidFill>
                      <w14:schemeClr w14:val="tx1"/>
                    </w14:solidFill>
                  </w14:textFill>
                </w:rPr>
                <m:t>ij畜排</m:t>
              </m:r>
              <m:ctrlPr>
                <w:rPr>
                  <w:rFonts w:ascii="Cambria Math" w:hAnsi="Cambria Math" w:eastAsia="方正仿宋简体"/>
                  <w:color w:val="000000" w:themeColor="text1"/>
                  <w:sz w:val="32"/>
                  <w:szCs w:val="32"/>
                  <w14:textFill>
                    <w14:solidFill>
                      <w14:schemeClr w14:val="tx1"/>
                    </w14:solidFill>
                  </w14:textFill>
                </w:rPr>
              </m:ctrlPr>
            </m:sub>
          </m:sSub>
        </m:oMath>
      </m:oMathPara>
    </w:p>
    <w:p>
      <w:pPr>
        <w:spacing w:line="360" w:lineRule="auto"/>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式中：Q</w:t>
      </w:r>
      <w:r>
        <w:rPr>
          <w:rFonts w:ascii="Times New Roman" w:hAnsi="Times New Roman" w:eastAsia="方正仿宋简体"/>
          <w:color w:val="000000" w:themeColor="text1"/>
          <w:sz w:val="32"/>
          <w:szCs w:val="32"/>
          <w:vertAlign w:val="subscript"/>
          <w14:textFill>
            <w14:solidFill>
              <w14:schemeClr w14:val="tx1"/>
            </w14:solidFill>
          </w14:textFill>
        </w:rPr>
        <w:t>ij畜排</w:t>
      </w:r>
      <w:r>
        <w:rPr>
          <w:rFonts w:ascii="Times New Roman" w:hAnsi="Times New Roman" w:eastAsia="方正仿宋简体"/>
          <w:color w:val="000000" w:themeColor="text1"/>
          <w:sz w:val="32"/>
          <w:szCs w:val="32"/>
          <w14:textFill>
            <w14:solidFill>
              <w14:schemeClr w14:val="tx1"/>
            </w14:solidFill>
          </w14:textFill>
        </w:rPr>
        <w:t>指区域内第i类畜禽养殖第j项污染物排放量（单位：吨）；</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q</w:t>
      </w:r>
      <w:r>
        <w:rPr>
          <w:rFonts w:ascii="Times New Roman" w:hAnsi="Times New Roman" w:eastAsia="方正仿宋简体"/>
          <w:color w:val="000000" w:themeColor="text1"/>
          <w:sz w:val="32"/>
          <w:szCs w:val="32"/>
          <w:vertAlign w:val="subscript"/>
          <w14:textFill>
            <w14:solidFill>
              <w14:schemeClr w14:val="tx1"/>
            </w14:solidFill>
          </w14:textFill>
        </w:rPr>
        <w:t>i规模</w:t>
      </w:r>
      <w:r>
        <w:rPr>
          <w:rFonts w:ascii="Times New Roman" w:hAnsi="Times New Roman" w:eastAsia="方正仿宋简体"/>
          <w:color w:val="000000" w:themeColor="text1"/>
          <w:sz w:val="32"/>
          <w:szCs w:val="32"/>
          <w14:textFill>
            <w14:solidFill>
              <w14:schemeClr w14:val="tx1"/>
            </w14:solidFill>
          </w14:textFill>
        </w:rPr>
        <w:t>指区域内第i类畜禽规模化养殖场的存/出栏量（单位：头/羽）；</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f</w:t>
      </w:r>
      <w:r>
        <w:rPr>
          <w:rFonts w:ascii="Times New Roman" w:hAnsi="Times New Roman" w:eastAsia="方正仿宋简体"/>
          <w:color w:val="000000" w:themeColor="text1"/>
          <w:sz w:val="32"/>
          <w:szCs w:val="32"/>
          <w:vertAlign w:val="subscript"/>
          <w14:textFill>
            <w14:solidFill>
              <w14:schemeClr w14:val="tx1"/>
            </w14:solidFill>
          </w14:textFill>
        </w:rPr>
        <w:t>ij规模</w:t>
      </w:r>
      <w:r>
        <w:rPr>
          <w:rFonts w:ascii="Times New Roman" w:hAnsi="Times New Roman" w:eastAsia="方正仿宋简体"/>
          <w:color w:val="000000" w:themeColor="text1"/>
          <w:sz w:val="32"/>
          <w:szCs w:val="32"/>
          <w14:textFill>
            <w14:solidFill>
              <w14:schemeClr w14:val="tx1"/>
            </w14:solidFill>
          </w14:textFill>
        </w:rPr>
        <w:t>指区域内第i类畜禽规模化畜禽养殖第j项污染物排放系数（单位：千克/头（羽））；</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q</w:t>
      </w:r>
      <w:r>
        <w:rPr>
          <w:rFonts w:ascii="Times New Roman" w:hAnsi="Times New Roman" w:eastAsia="方正仿宋简体"/>
          <w:color w:val="000000" w:themeColor="text1"/>
          <w:sz w:val="32"/>
          <w:szCs w:val="32"/>
          <w:vertAlign w:val="subscript"/>
          <w14:textFill>
            <w14:solidFill>
              <w14:schemeClr w14:val="tx1"/>
            </w14:solidFill>
          </w14:textFill>
        </w:rPr>
        <w:t>i养殖户</w:t>
      </w:r>
      <w:r>
        <w:rPr>
          <w:rFonts w:ascii="Times New Roman" w:hAnsi="Times New Roman" w:eastAsia="方正仿宋简体"/>
          <w:color w:val="000000" w:themeColor="text1"/>
          <w:sz w:val="32"/>
          <w:szCs w:val="32"/>
          <w14:textFill>
            <w14:solidFill>
              <w14:schemeClr w14:val="tx1"/>
            </w14:solidFill>
          </w14:textFill>
        </w:rPr>
        <w:t>指区域内第i类畜禽养殖户存/出栏量（单位：头/羽）；</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fij养殖户指区域内第i类畜禽养殖户第j项污染物排放系数（单位：千克/头（羽））；</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Q</w:t>
      </w:r>
      <w:r>
        <w:rPr>
          <w:rFonts w:ascii="Times New Roman" w:hAnsi="Times New Roman" w:eastAsia="方正仿宋简体"/>
          <w:color w:val="000000" w:themeColor="text1"/>
          <w:sz w:val="32"/>
          <w:szCs w:val="32"/>
          <w:vertAlign w:val="subscript"/>
          <w14:textFill>
            <w14:solidFill>
              <w14:schemeClr w14:val="tx1"/>
            </w14:solidFill>
          </w14:textFill>
        </w:rPr>
        <w:t>j畜排</w:t>
      </w:r>
      <w:r>
        <w:rPr>
          <w:rFonts w:ascii="Times New Roman" w:hAnsi="Times New Roman" w:eastAsia="方正仿宋简体"/>
          <w:color w:val="000000" w:themeColor="text1"/>
          <w:sz w:val="32"/>
          <w:szCs w:val="32"/>
          <w14:textFill>
            <w14:solidFill>
              <w14:schemeClr w14:val="tx1"/>
            </w14:solidFill>
          </w14:textFill>
        </w:rPr>
        <w:t>指区域内畜禽养殖第j项污染物排放量（单位：吨）。</w:t>
      </w:r>
    </w:p>
    <w:p>
      <w:pPr>
        <w:spacing w:line="560" w:lineRule="exact"/>
        <w:rPr>
          <w:rFonts w:ascii="Times New Roman" w:hAnsi="Times New Roman" w:eastAsia="方正仿宋简体"/>
          <w:color w:val="000000" w:themeColor="text1"/>
          <w:sz w:val="32"/>
          <w:szCs w:val="32"/>
          <w14:textFill>
            <w14:solidFill>
              <w14:schemeClr w14:val="tx1"/>
            </w14:solidFill>
          </w14:textFill>
        </w:rPr>
      </w:pPr>
      <w:bookmarkStart w:id="177" w:name="_Toc25160"/>
      <w:bookmarkStart w:id="178" w:name="_Toc541"/>
      <w:bookmarkStart w:id="179" w:name="_Toc24706"/>
      <w:bookmarkStart w:id="180" w:name="_Toc11793"/>
      <w:bookmarkStart w:id="181" w:name="_Toc9234"/>
      <w:bookmarkStart w:id="182" w:name="_Toc14931"/>
      <w:bookmarkStart w:id="183" w:name="_Toc4277"/>
      <w:bookmarkStart w:id="184" w:name="_Toc31424"/>
      <w:bookmarkStart w:id="185" w:name="_Toc5501"/>
      <w:bookmarkStart w:id="186" w:name="_Toc29617"/>
      <w:bookmarkStart w:id="187" w:name="_Toc13620"/>
      <w:bookmarkStart w:id="188" w:name="_Toc20288"/>
      <w:bookmarkStart w:id="189" w:name="_Toc18346"/>
      <w:r>
        <w:rPr>
          <w:rFonts w:ascii="Times New Roman" w:hAnsi="Times New Roman" w:eastAsia="方正仿宋简体"/>
          <w:color w:val="000000" w:themeColor="text1"/>
          <w:sz w:val="32"/>
          <w:szCs w:val="32"/>
          <w14:textFill>
            <w14:solidFill>
              <w14:schemeClr w14:val="tx1"/>
            </w14:solidFill>
          </w14:textFill>
        </w:rPr>
        <w:t>太白湖新区8家规模养殖场畜禽年产生化学需氧量</w:t>
      </w:r>
      <w:r>
        <w:rPr>
          <w:rFonts w:ascii="Times New Roman" w:hAnsi="Times New Roman" w:eastAsia="方正仿宋简体"/>
          <w:color w:val="000000"/>
          <w:sz w:val="32"/>
          <w:szCs w:val="32"/>
        </w:rPr>
        <w:t>7504.49</w:t>
      </w:r>
      <w:r>
        <w:rPr>
          <w:rFonts w:ascii="Times New Roman" w:hAnsi="Times New Roman" w:eastAsia="方正仿宋简体"/>
          <w:color w:val="000000" w:themeColor="text1"/>
          <w:sz w:val="32"/>
          <w:szCs w:val="32"/>
          <w14:textFill>
            <w14:solidFill>
              <w14:schemeClr w14:val="tx1"/>
            </w14:solidFill>
          </w14:textFill>
        </w:rPr>
        <w:t>吨、总氮</w:t>
      </w:r>
      <w:r>
        <w:rPr>
          <w:rFonts w:ascii="Times New Roman" w:hAnsi="Times New Roman" w:eastAsia="方正仿宋简体"/>
          <w:color w:val="000000"/>
          <w:sz w:val="32"/>
          <w:szCs w:val="32"/>
        </w:rPr>
        <w:t xml:space="preserve">379.60 </w:t>
      </w:r>
      <w:r>
        <w:rPr>
          <w:rFonts w:ascii="Times New Roman" w:hAnsi="Times New Roman" w:eastAsia="方正仿宋简体"/>
          <w:color w:val="000000" w:themeColor="text1"/>
          <w:sz w:val="32"/>
          <w:szCs w:val="32"/>
          <w14:textFill>
            <w14:solidFill>
              <w14:schemeClr w14:val="tx1"/>
            </w14:solidFill>
          </w14:textFill>
        </w:rPr>
        <w:t>吨、氨氮</w:t>
      </w:r>
      <w:r>
        <w:rPr>
          <w:rFonts w:ascii="Times New Roman" w:hAnsi="Times New Roman" w:eastAsia="方正仿宋简体"/>
          <w:color w:val="000000"/>
          <w:sz w:val="32"/>
          <w:szCs w:val="32"/>
        </w:rPr>
        <w:t xml:space="preserve">0.23 </w:t>
      </w:r>
      <w:r>
        <w:rPr>
          <w:rFonts w:ascii="Times New Roman" w:hAnsi="Times New Roman" w:eastAsia="方正仿宋简体"/>
          <w:color w:val="000000" w:themeColor="text1"/>
          <w:sz w:val="32"/>
          <w:szCs w:val="32"/>
          <w14:textFill>
            <w14:solidFill>
              <w14:schemeClr w14:val="tx1"/>
            </w14:solidFill>
          </w14:textFill>
        </w:rPr>
        <w:t>吨、总磷</w:t>
      </w:r>
      <w:r>
        <w:rPr>
          <w:rFonts w:ascii="Times New Roman" w:hAnsi="Times New Roman" w:eastAsia="方正仿宋简体"/>
          <w:color w:val="000000"/>
          <w:sz w:val="32"/>
          <w:szCs w:val="32"/>
        </w:rPr>
        <w:t>0.84</w:t>
      </w:r>
      <w:r>
        <w:rPr>
          <w:rFonts w:ascii="Times New Roman" w:hAnsi="Times New Roman" w:eastAsia="方正仿宋简体"/>
          <w:color w:val="000000" w:themeColor="text1"/>
          <w:sz w:val="32"/>
          <w:szCs w:val="32"/>
          <w14:textFill>
            <w14:solidFill>
              <w14:schemeClr w14:val="tx1"/>
            </w14:solidFill>
          </w14:textFill>
        </w:rPr>
        <w:t>吨，其中奶牛的污染物产生量最高，年产生化学需氧量</w:t>
      </w:r>
      <w:r>
        <w:rPr>
          <w:rFonts w:ascii="Times New Roman" w:hAnsi="Times New Roman" w:eastAsia="方正仿宋简体"/>
          <w:color w:val="000000"/>
          <w:sz w:val="32"/>
          <w:szCs w:val="32"/>
        </w:rPr>
        <w:t>5088.99</w:t>
      </w:r>
      <w:r>
        <w:rPr>
          <w:rFonts w:ascii="Times New Roman" w:hAnsi="Times New Roman" w:eastAsia="方正仿宋简体"/>
          <w:color w:val="000000" w:themeColor="text1"/>
          <w:sz w:val="32"/>
          <w:szCs w:val="32"/>
          <w14:textFill>
            <w14:solidFill>
              <w14:schemeClr w14:val="tx1"/>
            </w14:solidFill>
          </w14:textFill>
        </w:rPr>
        <w:t>吨、总氮</w:t>
      </w:r>
      <w:r>
        <w:rPr>
          <w:rFonts w:ascii="Times New Roman" w:hAnsi="Times New Roman" w:eastAsia="方正仿宋简体"/>
          <w:color w:val="000000"/>
          <w:sz w:val="32"/>
          <w:szCs w:val="32"/>
        </w:rPr>
        <w:t>187.43</w:t>
      </w:r>
      <w:r>
        <w:rPr>
          <w:rFonts w:ascii="Times New Roman" w:hAnsi="Times New Roman" w:eastAsia="方正仿宋简体"/>
          <w:color w:val="000000" w:themeColor="text1"/>
          <w:sz w:val="32"/>
          <w:szCs w:val="32"/>
          <w14:textFill>
            <w14:solidFill>
              <w14:schemeClr w14:val="tx1"/>
            </w14:solidFill>
          </w14:textFill>
        </w:rPr>
        <w:t>吨、氨氮</w:t>
      </w:r>
      <w:r>
        <w:rPr>
          <w:rFonts w:ascii="Times New Roman" w:hAnsi="Times New Roman" w:eastAsia="方正仿宋简体"/>
          <w:color w:val="000000"/>
          <w:sz w:val="32"/>
          <w:szCs w:val="32"/>
        </w:rPr>
        <w:t>12.19</w:t>
      </w:r>
      <w:r>
        <w:rPr>
          <w:rFonts w:ascii="Times New Roman" w:hAnsi="Times New Roman" w:eastAsia="方正仿宋简体"/>
          <w:color w:val="000000" w:themeColor="text1"/>
          <w:sz w:val="32"/>
          <w:szCs w:val="32"/>
          <w14:textFill>
            <w14:solidFill>
              <w14:schemeClr w14:val="tx1"/>
            </w14:solidFill>
          </w14:textFill>
        </w:rPr>
        <w:t>吨、总磷28.22吨。污染物年排放化学需氧量</w:t>
      </w:r>
      <w:r>
        <w:rPr>
          <w:rFonts w:ascii="Times New Roman" w:hAnsi="Times New Roman" w:eastAsia="方正仿宋简体"/>
          <w:color w:val="000000"/>
          <w:sz w:val="32"/>
          <w:szCs w:val="32"/>
        </w:rPr>
        <w:t>568.98</w:t>
      </w:r>
      <w:r>
        <w:rPr>
          <w:rFonts w:ascii="Times New Roman" w:hAnsi="Times New Roman" w:eastAsia="方正仿宋简体"/>
          <w:color w:val="000000" w:themeColor="text1"/>
          <w:sz w:val="32"/>
          <w:szCs w:val="32"/>
          <w14:textFill>
            <w14:solidFill>
              <w14:schemeClr w14:val="tx1"/>
            </w14:solidFill>
          </w14:textFill>
        </w:rPr>
        <w:t>吨、总氮</w:t>
      </w:r>
      <w:r>
        <w:rPr>
          <w:rFonts w:ascii="Times New Roman" w:hAnsi="Times New Roman" w:eastAsia="方正仿宋简体"/>
          <w:color w:val="000000"/>
          <w:sz w:val="32"/>
          <w:szCs w:val="32"/>
        </w:rPr>
        <w:t>52.93</w:t>
      </w:r>
      <w:r>
        <w:rPr>
          <w:rFonts w:ascii="Times New Roman" w:hAnsi="Times New Roman" w:eastAsia="方正仿宋简体"/>
          <w:color w:val="000000" w:themeColor="text1"/>
          <w:sz w:val="32"/>
          <w:szCs w:val="32"/>
          <w14:textFill>
            <w14:solidFill>
              <w14:schemeClr w14:val="tx1"/>
            </w14:solidFill>
          </w14:textFill>
        </w:rPr>
        <w:t>吨、氨氮</w:t>
      </w:r>
      <w:r>
        <w:rPr>
          <w:rFonts w:ascii="Times New Roman" w:hAnsi="Times New Roman" w:eastAsia="方正仿宋简体"/>
          <w:color w:val="000000"/>
          <w:sz w:val="32"/>
          <w:szCs w:val="32"/>
        </w:rPr>
        <w:t>10.39</w:t>
      </w:r>
      <w:r>
        <w:rPr>
          <w:rFonts w:ascii="Times New Roman" w:hAnsi="Times New Roman" w:eastAsia="方正仿宋简体"/>
          <w:color w:val="000000" w:themeColor="text1"/>
          <w:sz w:val="32"/>
          <w:szCs w:val="32"/>
          <w14:textFill>
            <w14:solidFill>
              <w14:schemeClr w14:val="tx1"/>
            </w14:solidFill>
          </w14:textFill>
        </w:rPr>
        <w:t>吨、总磷</w:t>
      </w:r>
      <w:r>
        <w:rPr>
          <w:rFonts w:ascii="Times New Roman" w:hAnsi="Times New Roman" w:eastAsia="方正仿宋简体"/>
          <w:color w:val="000000"/>
          <w:sz w:val="32"/>
          <w:szCs w:val="32"/>
        </w:rPr>
        <w:t>6.64</w:t>
      </w:r>
      <w:r>
        <w:rPr>
          <w:rFonts w:ascii="Times New Roman" w:hAnsi="Times New Roman" w:eastAsia="方正仿宋简体"/>
          <w:color w:val="000000" w:themeColor="text1"/>
          <w:sz w:val="32"/>
          <w:szCs w:val="32"/>
          <w14:textFill>
            <w14:solidFill>
              <w14:schemeClr w14:val="tx1"/>
            </w14:solidFill>
          </w14:textFill>
        </w:rPr>
        <w:t>吨，奶牛的污染物排放量最高，年排放化学需氧量</w:t>
      </w:r>
      <w:r>
        <w:rPr>
          <w:rFonts w:ascii="Times New Roman" w:hAnsi="Times New Roman" w:eastAsia="方正仿宋简体"/>
          <w:color w:val="000000"/>
          <w:sz w:val="32"/>
          <w:szCs w:val="32"/>
        </w:rPr>
        <w:t>336.52</w:t>
      </w:r>
      <w:r>
        <w:rPr>
          <w:rFonts w:ascii="Times New Roman" w:hAnsi="Times New Roman" w:eastAsia="方正仿宋简体"/>
          <w:color w:val="000000" w:themeColor="text1"/>
          <w:sz w:val="32"/>
          <w:szCs w:val="32"/>
          <w14:textFill>
            <w14:solidFill>
              <w14:schemeClr w14:val="tx1"/>
            </w14:solidFill>
          </w14:textFill>
        </w:rPr>
        <w:t>吨、总氮</w:t>
      </w:r>
      <w:r>
        <w:rPr>
          <w:rFonts w:ascii="Times New Roman" w:hAnsi="Times New Roman" w:eastAsia="方正仿宋简体"/>
          <w:color w:val="000000"/>
          <w:sz w:val="32"/>
          <w:szCs w:val="32"/>
        </w:rPr>
        <w:t>23.69</w:t>
      </w:r>
      <w:r>
        <w:rPr>
          <w:rFonts w:ascii="Times New Roman" w:hAnsi="Times New Roman" w:eastAsia="方正仿宋简体"/>
          <w:color w:val="000000" w:themeColor="text1"/>
          <w:sz w:val="32"/>
          <w:szCs w:val="32"/>
          <w14:textFill>
            <w14:solidFill>
              <w14:schemeClr w14:val="tx1"/>
            </w14:solidFill>
          </w14:textFill>
        </w:rPr>
        <w:t>吨、氨氮</w:t>
      </w:r>
      <w:r>
        <w:rPr>
          <w:rFonts w:ascii="Times New Roman" w:hAnsi="Times New Roman" w:eastAsia="方正仿宋简体"/>
          <w:color w:val="000000"/>
          <w:sz w:val="32"/>
          <w:szCs w:val="32"/>
        </w:rPr>
        <w:t>1.73</w:t>
      </w:r>
      <w:r>
        <w:rPr>
          <w:rFonts w:ascii="Times New Roman" w:hAnsi="Times New Roman" w:eastAsia="方正仿宋简体"/>
          <w:color w:val="000000" w:themeColor="text1"/>
          <w:sz w:val="32"/>
          <w:szCs w:val="32"/>
          <w14:textFill>
            <w14:solidFill>
              <w14:schemeClr w14:val="tx1"/>
            </w14:solidFill>
          </w14:textFill>
        </w:rPr>
        <w:t>吨、总磷</w:t>
      </w:r>
      <w:r>
        <w:rPr>
          <w:rFonts w:ascii="Times New Roman" w:hAnsi="Times New Roman" w:eastAsia="方正仿宋简体"/>
          <w:color w:val="000000"/>
          <w:sz w:val="32"/>
          <w:szCs w:val="32"/>
        </w:rPr>
        <w:t>1.92</w:t>
      </w:r>
      <w:r>
        <w:rPr>
          <w:rFonts w:ascii="Times New Roman" w:hAnsi="Times New Roman" w:eastAsia="方正仿宋简体"/>
          <w:color w:val="000000" w:themeColor="text1"/>
          <w:sz w:val="32"/>
          <w:szCs w:val="32"/>
          <w14:textFill>
            <w14:solidFill>
              <w14:schemeClr w14:val="tx1"/>
            </w14:solidFill>
          </w14:textFill>
        </w:rPr>
        <w:t>吨。按照不同养殖类型污染物排放情况，化学需氧量、总氮、总磷排放量最高的均为奶牛养殖业，其次生猪。规模化畜禽污染物产生与排放情况见表2.4-10。</w:t>
      </w:r>
    </w:p>
    <w:p>
      <w:pPr>
        <w:pStyle w:val="60"/>
        <w:spacing w:line="560" w:lineRule="exact"/>
        <w:ind w:firstLine="0" w:firstLineChars="0"/>
        <w:jc w:val="center"/>
        <w:rPr>
          <w:rFonts w:ascii="Times New Roman" w:hAnsi="Times New Roman" w:eastAsia="方正仿宋简体"/>
          <w:b/>
          <w:bCs/>
          <w:sz w:val="32"/>
          <w:szCs w:val="32"/>
        </w:rPr>
      </w:pPr>
      <w:r>
        <w:rPr>
          <w:rFonts w:ascii="Times New Roman" w:hAnsi="Times New Roman" w:eastAsia="方正仿宋简体"/>
          <w:b/>
          <w:bCs/>
          <w:sz w:val="32"/>
          <w:szCs w:val="32"/>
        </w:rPr>
        <w:t>表2.4-10 规模养殖场畜禽污染物产生与排放情况</w:t>
      </w:r>
    </w:p>
    <w:tbl>
      <w:tblPr>
        <w:tblStyle w:val="27"/>
        <w:tblW w:w="5165" w:type="pct"/>
        <w:tblInd w:w="-2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216"/>
        <w:gridCol w:w="991"/>
        <w:gridCol w:w="991"/>
        <w:gridCol w:w="848"/>
        <w:gridCol w:w="1116"/>
        <w:gridCol w:w="1116"/>
        <w:gridCol w:w="1114"/>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Merge w:val="restart"/>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养殖种类</w:t>
            </w:r>
          </w:p>
        </w:tc>
        <w:tc>
          <w:tcPr>
            <w:tcW w:w="1194" w:type="pct"/>
            <w:gridSpan w:val="2"/>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化学需氧量(吨)</w:t>
            </w:r>
          </w:p>
        </w:tc>
        <w:tc>
          <w:tcPr>
            <w:tcW w:w="995" w:type="pct"/>
            <w:gridSpan w:val="2"/>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总氮(吨)</w:t>
            </w:r>
          </w:p>
        </w:tc>
        <w:tc>
          <w:tcPr>
            <w:tcW w:w="1208" w:type="pct"/>
            <w:gridSpan w:val="2"/>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氨氮(吨)</w:t>
            </w:r>
          </w:p>
        </w:tc>
        <w:tc>
          <w:tcPr>
            <w:tcW w:w="1205" w:type="pct"/>
            <w:gridSpan w:val="2"/>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总磷(吨)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Merge w:val="continue"/>
            <w:shd w:val="clear" w:color="auto" w:fill="auto"/>
            <w:vAlign w:val="center"/>
          </w:tcPr>
          <w:p>
            <w:pPr>
              <w:pStyle w:val="60"/>
              <w:snapToGrid w:val="0"/>
              <w:ind w:firstLine="0" w:firstLineChars="0"/>
              <w:jc w:val="center"/>
              <w:rPr>
                <w:rFonts w:ascii="Times New Roman" w:hAnsi="Times New Roman" w:eastAsia="方正仿宋简体"/>
                <w:b/>
                <w:bCs/>
                <w:sz w:val="28"/>
              </w:rPr>
            </w:pPr>
          </w:p>
        </w:tc>
        <w:tc>
          <w:tcPr>
            <w:tcW w:w="658" w:type="pct"/>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产生量</w:t>
            </w:r>
          </w:p>
        </w:tc>
        <w:tc>
          <w:tcPr>
            <w:tcW w:w="536" w:type="pct"/>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排放量</w:t>
            </w:r>
          </w:p>
        </w:tc>
        <w:tc>
          <w:tcPr>
            <w:tcW w:w="536" w:type="pct"/>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产生量</w:t>
            </w:r>
          </w:p>
        </w:tc>
        <w:tc>
          <w:tcPr>
            <w:tcW w:w="459" w:type="pct"/>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排放量</w:t>
            </w:r>
          </w:p>
        </w:tc>
        <w:tc>
          <w:tcPr>
            <w:tcW w:w="604" w:type="pct"/>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产生量</w:t>
            </w:r>
          </w:p>
        </w:tc>
        <w:tc>
          <w:tcPr>
            <w:tcW w:w="604" w:type="pct"/>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排放量</w:t>
            </w:r>
          </w:p>
        </w:tc>
        <w:tc>
          <w:tcPr>
            <w:tcW w:w="603" w:type="pct"/>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产生量</w:t>
            </w:r>
          </w:p>
        </w:tc>
        <w:tc>
          <w:tcPr>
            <w:tcW w:w="602" w:type="pct"/>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生猪</w:t>
            </w:r>
          </w:p>
        </w:tc>
        <w:tc>
          <w:tcPr>
            <w:tcW w:w="658"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2355.99 </w:t>
            </w:r>
          </w:p>
        </w:tc>
        <w:tc>
          <w:tcPr>
            <w:tcW w:w="536"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230.47 </w:t>
            </w:r>
          </w:p>
        </w:tc>
        <w:tc>
          <w:tcPr>
            <w:tcW w:w="536"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189.23 </w:t>
            </w:r>
          </w:p>
        </w:tc>
        <w:tc>
          <w:tcPr>
            <w:tcW w:w="459"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29.13 </w:t>
            </w:r>
          </w:p>
        </w:tc>
        <w:tc>
          <w:tcPr>
            <w:tcW w:w="604"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52.57 </w:t>
            </w:r>
          </w:p>
        </w:tc>
        <w:tc>
          <w:tcPr>
            <w:tcW w:w="604"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8.66 </w:t>
            </w:r>
          </w:p>
        </w:tc>
        <w:tc>
          <w:tcPr>
            <w:tcW w:w="603"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45.24 </w:t>
            </w:r>
          </w:p>
        </w:tc>
        <w:tc>
          <w:tcPr>
            <w:tcW w:w="602"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4.69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奶牛</w:t>
            </w:r>
          </w:p>
        </w:tc>
        <w:tc>
          <w:tcPr>
            <w:tcW w:w="658"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5088.99 </w:t>
            </w:r>
          </w:p>
        </w:tc>
        <w:tc>
          <w:tcPr>
            <w:tcW w:w="536"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336.52 </w:t>
            </w:r>
          </w:p>
        </w:tc>
        <w:tc>
          <w:tcPr>
            <w:tcW w:w="536"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187.43 </w:t>
            </w:r>
          </w:p>
        </w:tc>
        <w:tc>
          <w:tcPr>
            <w:tcW w:w="459"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23.69 </w:t>
            </w:r>
          </w:p>
        </w:tc>
        <w:tc>
          <w:tcPr>
            <w:tcW w:w="604"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12.19 </w:t>
            </w:r>
          </w:p>
        </w:tc>
        <w:tc>
          <w:tcPr>
            <w:tcW w:w="604"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1.73 </w:t>
            </w:r>
          </w:p>
        </w:tc>
        <w:tc>
          <w:tcPr>
            <w:tcW w:w="603"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28.22 </w:t>
            </w:r>
          </w:p>
        </w:tc>
        <w:tc>
          <w:tcPr>
            <w:tcW w:w="602"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1.92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蛋鸡</w:t>
            </w:r>
          </w:p>
        </w:tc>
        <w:tc>
          <w:tcPr>
            <w:tcW w:w="658"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59.51 </w:t>
            </w:r>
          </w:p>
        </w:tc>
        <w:tc>
          <w:tcPr>
            <w:tcW w:w="536"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1.99 </w:t>
            </w:r>
          </w:p>
        </w:tc>
        <w:tc>
          <w:tcPr>
            <w:tcW w:w="536"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2.94 </w:t>
            </w:r>
          </w:p>
        </w:tc>
        <w:tc>
          <w:tcPr>
            <w:tcW w:w="459"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0.12 </w:t>
            </w:r>
          </w:p>
        </w:tc>
        <w:tc>
          <w:tcPr>
            <w:tcW w:w="604"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0.23 </w:t>
            </w:r>
          </w:p>
        </w:tc>
        <w:tc>
          <w:tcPr>
            <w:tcW w:w="604"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0.0091 </w:t>
            </w:r>
          </w:p>
        </w:tc>
        <w:tc>
          <w:tcPr>
            <w:tcW w:w="603"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0.84 </w:t>
            </w:r>
          </w:p>
        </w:tc>
        <w:tc>
          <w:tcPr>
            <w:tcW w:w="602"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0.0302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合计</w:t>
            </w:r>
          </w:p>
        </w:tc>
        <w:tc>
          <w:tcPr>
            <w:tcW w:w="658"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7504.49 </w:t>
            </w:r>
          </w:p>
        </w:tc>
        <w:tc>
          <w:tcPr>
            <w:tcW w:w="536"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568.98 </w:t>
            </w:r>
          </w:p>
        </w:tc>
        <w:tc>
          <w:tcPr>
            <w:tcW w:w="536"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379.60 </w:t>
            </w:r>
          </w:p>
        </w:tc>
        <w:tc>
          <w:tcPr>
            <w:tcW w:w="459"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52.93 </w:t>
            </w:r>
          </w:p>
        </w:tc>
        <w:tc>
          <w:tcPr>
            <w:tcW w:w="604"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64.98 </w:t>
            </w:r>
          </w:p>
        </w:tc>
        <w:tc>
          <w:tcPr>
            <w:tcW w:w="604"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10.39 </w:t>
            </w:r>
          </w:p>
        </w:tc>
        <w:tc>
          <w:tcPr>
            <w:tcW w:w="603"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74.30 </w:t>
            </w:r>
          </w:p>
        </w:tc>
        <w:tc>
          <w:tcPr>
            <w:tcW w:w="602" w:type="pct"/>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6.64 </w:t>
            </w:r>
          </w:p>
        </w:tc>
      </w:tr>
    </w:tbl>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360" w:lineRule="auto"/>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sz w:val="32"/>
          <w:szCs w:val="32"/>
        </w:rPr>
        <w:drawing>
          <wp:inline distT="0" distB="0" distL="0" distR="0">
            <wp:extent cx="4572000" cy="2743200"/>
            <wp:effectExtent l="0" t="0" r="19050" b="1905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line="360" w:lineRule="auto"/>
        <w:ind w:firstLine="643" w:firstLineChars="200"/>
        <w:jc w:val="center"/>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b/>
          <w:bCs/>
          <w:sz w:val="32"/>
          <w:szCs w:val="32"/>
        </w:rPr>
        <w:t>图2.4-6规模养殖场畜禽污染物产生与排放情况图</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太白湖新区91家养殖专业户年产生化学需氧量2141.84 吨、总氮92.21吨、氨氮9.53吨、总磷23.32 吨，污染物年排放化学需氧量181.02吨、总氮9.12吨、氨氮0.93吨、总磷2.04吨，其中生猪的污染物排放量最高，其次为肉鸭。</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pStyle w:val="60"/>
        <w:spacing w:line="560" w:lineRule="exact"/>
        <w:ind w:firstLine="0" w:firstLineChars="0"/>
        <w:jc w:val="center"/>
        <w:rPr>
          <w:rFonts w:ascii="Times New Roman" w:hAnsi="Times New Roman" w:eastAsia="方正仿宋简体"/>
          <w:b/>
          <w:bCs/>
          <w:sz w:val="32"/>
          <w:szCs w:val="32"/>
        </w:rPr>
      </w:pPr>
      <w:r>
        <w:rPr>
          <w:rFonts w:ascii="Times New Roman" w:hAnsi="Times New Roman" w:eastAsia="方正仿宋简体"/>
          <w:b/>
          <w:bCs/>
          <w:sz w:val="32"/>
          <w:szCs w:val="32"/>
        </w:rPr>
        <w:t>表2.4-11 畜禽养殖专业户污染物产生与排放情况</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1153"/>
        <w:gridCol w:w="1010"/>
        <w:gridCol w:w="966"/>
        <w:gridCol w:w="961"/>
        <w:gridCol w:w="959"/>
        <w:gridCol w:w="954"/>
        <w:gridCol w:w="959"/>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restart"/>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养殖种类</w:t>
            </w:r>
          </w:p>
        </w:tc>
        <w:tc>
          <w:tcPr>
            <w:tcW w:w="1950" w:type="dxa"/>
            <w:gridSpan w:val="2"/>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化学需氧量(吨)</w:t>
            </w:r>
          </w:p>
        </w:tc>
        <w:tc>
          <w:tcPr>
            <w:tcW w:w="1882" w:type="dxa"/>
            <w:gridSpan w:val="2"/>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总氮(吨)</w:t>
            </w:r>
          </w:p>
        </w:tc>
        <w:tc>
          <w:tcPr>
            <w:tcW w:w="1869" w:type="dxa"/>
            <w:gridSpan w:val="2"/>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氨氮(吨)</w:t>
            </w:r>
          </w:p>
        </w:tc>
        <w:tc>
          <w:tcPr>
            <w:tcW w:w="1870" w:type="dxa"/>
            <w:gridSpan w:val="2"/>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总磷(吨)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shd w:val="clear" w:color="auto" w:fill="auto"/>
            <w:vAlign w:val="center"/>
          </w:tcPr>
          <w:p>
            <w:pPr>
              <w:pStyle w:val="60"/>
              <w:snapToGrid w:val="0"/>
              <w:ind w:firstLine="0" w:firstLineChars="0"/>
              <w:jc w:val="center"/>
              <w:rPr>
                <w:rFonts w:ascii="Times New Roman" w:hAnsi="Times New Roman" w:eastAsia="方正仿宋简体"/>
                <w:b/>
                <w:bCs/>
                <w:sz w:val="28"/>
              </w:rPr>
            </w:pPr>
          </w:p>
        </w:tc>
        <w:tc>
          <w:tcPr>
            <w:tcW w:w="1004" w:type="dxa"/>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产生量</w:t>
            </w:r>
          </w:p>
        </w:tc>
        <w:tc>
          <w:tcPr>
            <w:tcW w:w="946" w:type="dxa"/>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排放量</w:t>
            </w:r>
          </w:p>
        </w:tc>
        <w:tc>
          <w:tcPr>
            <w:tcW w:w="943" w:type="dxa"/>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产生量</w:t>
            </w:r>
          </w:p>
        </w:tc>
        <w:tc>
          <w:tcPr>
            <w:tcW w:w="939" w:type="dxa"/>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排放量</w:t>
            </w:r>
          </w:p>
        </w:tc>
        <w:tc>
          <w:tcPr>
            <w:tcW w:w="937" w:type="dxa"/>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产生量</w:t>
            </w:r>
          </w:p>
        </w:tc>
        <w:tc>
          <w:tcPr>
            <w:tcW w:w="932" w:type="dxa"/>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排放量</w:t>
            </w:r>
          </w:p>
        </w:tc>
        <w:tc>
          <w:tcPr>
            <w:tcW w:w="937" w:type="dxa"/>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产生量</w:t>
            </w:r>
          </w:p>
        </w:tc>
        <w:tc>
          <w:tcPr>
            <w:tcW w:w="933" w:type="dxa"/>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生猪</w:t>
            </w:r>
          </w:p>
        </w:tc>
        <w:tc>
          <w:tcPr>
            <w:tcW w:w="1004"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749.41 </w:t>
            </w:r>
          </w:p>
        </w:tc>
        <w:tc>
          <w:tcPr>
            <w:tcW w:w="946"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66.00 </w:t>
            </w:r>
          </w:p>
        </w:tc>
        <w:tc>
          <w:tcPr>
            <w:tcW w:w="943"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34.74 </w:t>
            </w:r>
          </w:p>
        </w:tc>
        <w:tc>
          <w:tcPr>
            <w:tcW w:w="939"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3.77 </w:t>
            </w:r>
          </w:p>
        </w:tc>
        <w:tc>
          <w:tcPr>
            <w:tcW w:w="937"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3.97 </w:t>
            </w:r>
          </w:p>
        </w:tc>
        <w:tc>
          <w:tcPr>
            <w:tcW w:w="932"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0.42 </w:t>
            </w:r>
          </w:p>
        </w:tc>
        <w:tc>
          <w:tcPr>
            <w:tcW w:w="937"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11.91 </w:t>
            </w:r>
          </w:p>
        </w:tc>
        <w:tc>
          <w:tcPr>
            <w:tcW w:w="933"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肉牛</w:t>
            </w:r>
          </w:p>
        </w:tc>
        <w:tc>
          <w:tcPr>
            <w:tcW w:w="1004"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279.06</w:t>
            </w:r>
          </w:p>
        </w:tc>
        <w:tc>
          <w:tcPr>
            <w:tcW w:w="946"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24.61 </w:t>
            </w:r>
          </w:p>
        </w:tc>
        <w:tc>
          <w:tcPr>
            <w:tcW w:w="943"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6.84</w:t>
            </w:r>
          </w:p>
        </w:tc>
        <w:tc>
          <w:tcPr>
            <w:tcW w:w="939"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0.83 </w:t>
            </w:r>
          </w:p>
        </w:tc>
        <w:tc>
          <w:tcPr>
            <w:tcW w:w="937"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0.48</w:t>
            </w:r>
          </w:p>
        </w:tc>
        <w:tc>
          <w:tcPr>
            <w:tcW w:w="932"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0.05 </w:t>
            </w:r>
          </w:p>
        </w:tc>
        <w:tc>
          <w:tcPr>
            <w:tcW w:w="937"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1.13 </w:t>
            </w:r>
          </w:p>
        </w:tc>
        <w:tc>
          <w:tcPr>
            <w:tcW w:w="933"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0.12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肉羊</w:t>
            </w:r>
          </w:p>
        </w:tc>
        <w:tc>
          <w:tcPr>
            <w:tcW w:w="1004"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24.37 </w:t>
            </w:r>
          </w:p>
        </w:tc>
        <w:tc>
          <w:tcPr>
            <w:tcW w:w="946"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2.15 </w:t>
            </w:r>
          </w:p>
        </w:tc>
        <w:tc>
          <w:tcPr>
            <w:tcW w:w="943"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1.13 </w:t>
            </w:r>
          </w:p>
        </w:tc>
        <w:tc>
          <w:tcPr>
            <w:tcW w:w="939"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0.12 </w:t>
            </w:r>
          </w:p>
        </w:tc>
        <w:tc>
          <w:tcPr>
            <w:tcW w:w="937"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0.13 </w:t>
            </w:r>
          </w:p>
        </w:tc>
        <w:tc>
          <w:tcPr>
            <w:tcW w:w="932"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0.01 </w:t>
            </w:r>
          </w:p>
        </w:tc>
        <w:tc>
          <w:tcPr>
            <w:tcW w:w="937"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0.39 </w:t>
            </w:r>
          </w:p>
        </w:tc>
        <w:tc>
          <w:tcPr>
            <w:tcW w:w="933"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肉鸡</w:t>
            </w:r>
          </w:p>
        </w:tc>
        <w:tc>
          <w:tcPr>
            <w:tcW w:w="1004"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280.5</w:t>
            </w:r>
          </w:p>
        </w:tc>
        <w:tc>
          <w:tcPr>
            <w:tcW w:w="946"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22.73 </w:t>
            </w:r>
          </w:p>
        </w:tc>
        <w:tc>
          <w:tcPr>
            <w:tcW w:w="943"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12.75</w:t>
            </w:r>
          </w:p>
        </w:tc>
        <w:tc>
          <w:tcPr>
            <w:tcW w:w="939"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1.13 </w:t>
            </w:r>
          </w:p>
        </w:tc>
        <w:tc>
          <w:tcPr>
            <w:tcW w:w="937"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1.275</w:t>
            </w:r>
          </w:p>
        </w:tc>
        <w:tc>
          <w:tcPr>
            <w:tcW w:w="932"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0.11 </w:t>
            </w:r>
          </w:p>
        </w:tc>
        <w:tc>
          <w:tcPr>
            <w:tcW w:w="937"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2.55</w:t>
            </w:r>
          </w:p>
        </w:tc>
        <w:tc>
          <w:tcPr>
            <w:tcW w:w="933"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0.23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肉鸭</w:t>
            </w:r>
          </w:p>
        </w:tc>
        <w:tc>
          <w:tcPr>
            <w:tcW w:w="1004"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456.5</w:t>
            </w:r>
          </w:p>
        </w:tc>
        <w:tc>
          <w:tcPr>
            <w:tcW w:w="946"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37.00 </w:t>
            </w:r>
          </w:p>
        </w:tc>
        <w:tc>
          <w:tcPr>
            <w:tcW w:w="943"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20.75</w:t>
            </w:r>
          </w:p>
        </w:tc>
        <w:tc>
          <w:tcPr>
            <w:tcW w:w="939"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1.85 </w:t>
            </w:r>
          </w:p>
        </w:tc>
        <w:tc>
          <w:tcPr>
            <w:tcW w:w="937"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2.075</w:t>
            </w:r>
          </w:p>
        </w:tc>
        <w:tc>
          <w:tcPr>
            <w:tcW w:w="932"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0.19 </w:t>
            </w:r>
          </w:p>
        </w:tc>
        <w:tc>
          <w:tcPr>
            <w:tcW w:w="937"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4.15</w:t>
            </w:r>
          </w:p>
        </w:tc>
        <w:tc>
          <w:tcPr>
            <w:tcW w:w="933"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0.3735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鹅</w:t>
            </w:r>
          </w:p>
        </w:tc>
        <w:tc>
          <w:tcPr>
            <w:tcW w:w="1004"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352</w:t>
            </w:r>
          </w:p>
        </w:tc>
        <w:tc>
          <w:tcPr>
            <w:tcW w:w="946"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28.528</w:t>
            </w:r>
          </w:p>
        </w:tc>
        <w:tc>
          <w:tcPr>
            <w:tcW w:w="943"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16</w:t>
            </w:r>
          </w:p>
        </w:tc>
        <w:tc>
          <w:tcPr>
            <w:tcW w:w="939"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1.424</w:t>
            </w:r>
          </w:p>
        </w:tc>
        <w:tc>
          <w:tcPr>
            <w:tcW w:w="937"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1.6</w:t>
            </w:r>
          </w:p>
        </w:tc>
        <w:tc>
          <w:tcPr>
            <w:tcW w:w="932"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0.144</w:t>
            </w:r>
          </w:p>
        </w:tc>
        <w:tc>
          <w:tcPr>
            <w:tcW w:w="937"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3.2</w:t>
            </w:r>
          </w:p>
        </w:tc>
        <w:tc>
          <w:tcPr>
            <w:tcW w:w="933"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总计</w:t>
            </w:r>
          </w:p>
        </w:tc>
        <w:tc>
          <w:tcPr>
            <w:tcW w:w="1004"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2141.84 </w:t>
            </w:r>
          </w:p>
        </w:tc>
        <w:tc>
          <w:tcPr>
            <w:tcW w:w="946"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181.02 </w:t>
            </w:r>
          </w:p>
        </w:tc>
        <w:tc>
          <w:tcPr>
            <w:tcW w:w="943"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92.21 </w:t>
            </w:r>
          </w:p>
        </w:tc>
        <w:tc>
          <w:tcPr>
            <w:tcW w:w="939"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9.12 </w:t>
            </w:r>
          </w:p>
        </w:tc>
        <w:tc>
          <w:tcPr>
            <w:tcW w:w="937"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9.53 </w:t>
            </w:r>
          </w:p>
        </w:tc>
        <w:tc>
          <w:tcPr>
            <w:tcW w:w="932"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0.93 </w:t>
            </w:r>
          </w:p>
        </w:tc>
        <w:tc>
          <w:tcPr>
            <w:tcW w:w="937"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23.32 </w:t>
            </w:r>
          </w:p>
        </w:tc>
        <w:tc>
          <w:tcPr>
            <w:tcW w:w="933" w:type="dxa"/>
            <w:shd w:val="clear" w:color="auto" w:fill="auto"/>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 xml:space="preserve">2.04 </w:t>
            </w:r>
          </w:p>
        </w:tc>
      </w:tr>
      <w:bookmarkEnd w:id="177"/>
      <w:bookmarkEnd w:id="178"/>
      <w:bookmarkEnd w:id="179"/>
      <w:bookmarkEnd w:id="180"/>
      <w:bookmarkEnd w:id="181"/>
      <w:bookmarkEnd w:id="182"/>
      <w:bookmarkEnd w:id="183"/>
      <w:bookmarkEnd w:id="184"/>
      <w:bookmarkEnd w:id="185"/>
      <w:bookmarkEnd w:id="186"/>
      <w:bookmarkEnd w:id="187"/>
      <w:bookmarkEnd w:id="188"/>
      <w:bookmarkEnd w:id="189"/>
    </w:tbl>
    <w:p>
      <w:pPr>
        <w:tabs>
          <w:tab w:val="left" w:pos="1399"/>
        </w:tabs>
        <w:spacing w:before="87" w:line="560" w:lineRule="exact"/>
        <w:ind w:right="84"/>
        <w:jc w:val="center"/>
        <w:rPr>
          <w:rFonts w:ascii="Times New Roman" w:hAnsi="Times New Roman" w:eastAsia="方正仿宋简体"/>
          <w:b/>
          <w:snapToGrid w:val="0"/>
          <w:sz w:val="32"/>
          <w:szCs w:val="32"/>
        </w:rPr>
      </w:pPr>
    </w:p>
    <w:p>
      <w:pPr>
        <w:tabs>
          <w:tab w:val="left" w:pos="1399"/>
        </w:tabs>
        <w:adjustRightInd w:val="0"/>
        <w:snapToGrid w:val="0"/>
        <w:spacing w:line="360" w:lineRule="auto"/>
        <w:jc w:val="center"/>
        <w:rPr>
          <w:rFonts w:ascii="Times New Roman" w:hAnsi="Times New Roman" w:eastAsia="方正仿宋简体"/>
          <w:b/>
          <w:snapToGrid w:val="0"/>
          <w:sz w:val="32"/>
          <w:szCs w:val="32"/>
        </w:rPr>
      </w:pPr>
      <w:r>
        <w:rPr>
          <w:rFonts w:ascii="Times New Roman" w:hAnsi="Times New Roman" w:eastAsia="方正仿宋简体"/>
          <w:sz w:val="32"/>
          <w:szCs w:val="32"/>
        </w:rPr>
        <w:drawing>
          <wp:inline distT="0" distB="0" distL="0" distR="0">
            <wp:extent cx="4572000" cy="2743200"/>
            <wp:effectExtent l="0" t="0" r="19050" b="1905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tabs>
          <w:tab w:val="left" w:pos="1399"/>
        </w:tabs>
        <w:adjustRightInd w:val="0"/>
        <w:snapToGrid w:val="0"/>
        <w:spacing w:line="360" w:lineRule="auto"/>
        <w:jc w:val="center"/>
        <w:rPr>
          <w:rFonts w:ascii="Times New Roman" w:hAnsi="Times New Roman" w:eastAsia="方正仿宋简体"/>
          <w:b/>
          <w:snapToGrid w:val="0"/>
          <w:sz w:val="32"/>
          <w:szCs w:val="32"/>
        </w:rPr>
      </w:pPr>
      <w:r>
        <w:rPr>
          <w:rFonts w:ascii="Times New Roman" w:hAnsi="Times New Roman" w:eastAsia="方正仿宋简体"/>
          <w:b/>
          <w:bCs/>
          <w:sz w:val="32"/>
          <w:szCs w:val="32"/>
        </w:rPr>
        <w:t>图2.4-7畜禽养殖专业户污染物产生与排放情况图</w:t>
      </w:r>
    </w:p>
    <w:p>
      <w:pPr>
        <w:tabs>
          <w:tab w:val="left" w:pos="1399"/>
        </w:tabs>
        <w:spacing w:before="87" w:line="560" w:lineRule="exact"/>
        <w:ind w:right="84"/>
        <w:jc w:val="center"/>
        <w:rPr>
          <w:rFonts w:ascii="Times New Roman" w:hAnsi="Times New Roman" w:eastAsia="方正仿宋简体"/>
          <w:b/>
          <w:snapToGrid w:val="0"/>
          <w:sz w:val="32"/>
          <w:szCs w:val="32"/>
        </w:rPr>
      </w:pPr>
    </w:p>
    <w:p>
      <w:pPr>
        <w:tabs>
          <w:tab w:val="left" w:pos="1399"/>
        </w:tabs>
        <w:spacing w:before="87" w:line="560" w:lineRule="exact"/>
        <w:ind w:right="84"/>
        <w:jc w:val="center"/>
        <w:rPr>
          <w:rFonts w:ascii="Times New Roman" w:hAnsi="Times New Roman" w:eastAsia="方正仿宋简体"/>
          <w:b/>
          <w:snapToGrid w:val="0"/>
          <w:sz w:val="32"/>
          <w:szCs w:val="32"/>
        </w:rPr>
      </w:pPr>
    </w:p>
    <w:p>
      <w:pPr>
        <w:tabs>
          <w:tab w:val="left" w:pos="1399"/>
        </w:tabs>
        <w:spacing w:before="87" w:line="560" w:lineRule="exact"/>
        <w:ind w:right="84"/>
        <w:jc w:val="center"/>
        <w:rPr>
          <w:rFonts w:ascii="Times New Roman" w:hAnsi="Times New Roman" w:eastAsia="方正仿宋简体"/>
          <w:b/>
          <w:snapToGrid w:val="0"/>
          <w:sz w:val="32"/>
          <w:szCs w:val="32"/>
        </w:rPr>
      </w:pPr>
    </w:p>
    <w:p>
      <w:pPr>
        <w:tabs>
          <w:tab w:val="left" w:pos="1399"/>
        </w:tabs>
        <w:spacing w:before="87" w:line="560" w:lineRule="exact"/>
        <w:ind w:right="84"/>
        <w:jc w:val="center"/>
        <w:rPr>
          <w:rFonts w:ascii="Times New Roman" w:hAnsi="Times New Roman" w:eastAsia="方正仿宋简体"/>
          <w:b/>
          <w:snapToGrid w:val="0"/>
          <w:sz w:val="32"/>
          <w:szCs w:val="32"/>
        </w:rPr>
      </w:pPr>
      <w:r>
        <w:rPr>
          <w:rFonts w:ascii="Times New Roman" w:hAnsi="Times New Roman" w:eastAsia="方正仿宋简体"/>
          <w:b/>
          <w:snapToGrid w:val="0"/>
          <w:sz w:val="32"/>
          <w:szCs w:val="32"/>
        </w:rPr>
        <w:t>表2.4-12</w:t>
      </w:r>
      <w:r>
        <w:rPr>
          <w:rFonts w:ascii="Times New Roman" w:hAnsi="Times New Roman" w:eastAsia="方正仿宋简体"/>
          <w:b/>
          <w:snapToGrid w:val="0"/>
          <w:sz w:val="32"/>
          <w:szCs w:val="32"/>
        </w:rPr>
        <w:tab/>
      </w:r>
      <w:r>
        <w:rPr>
          <w:rFonts w:ascii="Times New Roman" w:hAnsi="Times New Roman" w:eastAsia="方正仿宋简体"/>
          <w:b/>
          <w:snapToGrid w:val="0"/>
          <w:sz w:val="32"/>
          <w:szCs w:val="32"/>
        </w:rPr>
        <w:t>全区畜禽养殖污染物产生情况</w:t>
      </w:r>
    </w:p>
    <w:tbl>
      <w:tblPr>
        <w:tblStyle w:val="58"/>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640"/>
        <w:gridCol w:w="1744"/>
        <w:gridCol w:w="1738"/>
        <w:gridCol w:w="1856"/>
        <w:gridCol w:w="178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0" w:hRule="atLeast"/>
        </w:trPr>
        <w:tc>
          <w:tcPr>
            <w:tcW w:w="936" w:type="pct"/>
            <w:tcBorders>
              <w:bottom w:val="single" w:color="000000" w:sz="6" w:space="0"/>
              <w:right w:val="single" w:color="000000" w:sz="6" w:space="0"/>
            </w:tcBorders>
            <w:vAlign w:val="center"/>
          </w:tcPr>
          <w:p>
            <w:pPr>
              <w:widowControl/>
              <w:autoSpaceDE/>
              <w:autoSpaceDN/>
              <w:snapToGrid w:val="0"/>
              <w:jc w:val="center"/>
              <w:rPr>
                <w:rFonts w:ascii="Times New Roman" w:hAnsi="Times New Roman" w:eastAsia="方正仿宋简体" w:cs="Times New Roman"/>
                <w:b/>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b/>
                <w:color w:val="000000" w:themeColor="text1"/>
                <w:kern w:val="0"/>
                <w:sz w:val="28"/>
                <w:szCs w:val="28"/>
                <w:lang w:eastAsia="zh-CN"/>
                <w14:textFill>
                  <w14:solidFill>
                    <w14:schemeClr w14:val="tx1"/>
                  </w14:solidFill>
                </w14:textFill>
              </w:rPr>
              <w:t>畜种</w:t>
            </w:r>
          </w:p>
        </w:tc>
        <w:tc>
          <w:tcPr>
            <w:tcW w:w="995" w:type="pct"/>
            <w:tcBorders>
              <w:left w:val="single" w:color="000000" w:sz="6" w:space="0"/>
              <w:bottom w:val="single" w:color="000000" w:sz="6" w:space="0"/>
              <w:right w:val="single" w:color="000000" w:sz="6" w:space="0"/>
            </w:tcBorders>
            <w:vAlign w:val="center"/>
          </w:tcPr>
          <w:p>
            <w:pPr>
              <w:widowControl/>
              <w:autoSpaceDE/>
              <w:autoSpaceDN/>
              <w:snapToGrid w:val="0"/>
              <w:jc w:val="center"/>
              <w:rPr>
                <w:rFonts w:ascii="Times New Roman" w:hAnsi="Times New Roman" w:eastAsia="方正仿宋简体" w:cs="Times New Roman"/>
                <w:b/>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b/>
                <w:color w:val="000000" w:themeColor="text1"/>
                <w:kern w:val="0"/>
                <w:sz w:val="28"/>
                <w:szCs w:val="28"/>
                <w:lang w:eastAsia="zh-CN"/>
                <w14:textFill>
                  <w14:solidFill>
                    <w14:schemeClr w14:val="tx1"/>
                  </w14:solidFill>
                </w14:textFill>
              </w:rPr>
              <w:t>化学需氧量</w:t>
            </w:r>
          </w:p>
          <w:p>
            <w:pPr>
              <w:widowControl/>
              <w:autoSpaceDE/>
              <w:autoSpaceDN/>
              <w:snapToGrid w:val="0"/>
              <w:jc w:val="center"/>
              <w:rPr>
                <w:rFonts w:ascii="Times New Roman" w:hAnsi="Times New Roman" w:eastAsia="方正仿宋简体" w:cs="Times New Roman"/>
                <w:b/>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b/>
                <w:color w:val="000000" w:themeColor="text1"/>
                <w:kern w:val="0"/>
                <w:sz w:val="28"/>
                <w:szCs w:val="28"/>
                <w:lang w:eastAsia="zh-CN"/>
                <w14:textFill>
                  <w14:solidFill>
                    <w14:schemeClr w14:val="tx1"/>
                  </w14:solidFill>
                </w14:textFill>
              </w:rPr>
              <w:t>产生（吨）</w:t>
            </w:r>
          </w:p>
        </w:tc>
        <w:tc>
          <w:tcPr>
            <w:tcW w:w="992" w:type="pct"/>
            <w:tcBorders>
              <w:left w:val="single" w:color="000000" w:sz="6" w:space="0"/>
              <w:bottom w:val="single" w:color="000000" w:sz="6" w:space="0"/>
              <w:right w:val="single" w:color="000000" w:sz="6" w:space="0"/>
            </w:tcBorders>
            <w:vAlign w:val="center"/>
          </w:tcPr>
          <w:p>
            <w:pPr>
              <w:widowControl/>
              <w:autoSpaceDE/>
              <w:autoSpaceDN/>
              <w:snapToGrid w:val="0"/>
              <w:jc w:val="center"/>
              <w:rPr>
                <w:rFonts w:ascii="Times New Roman" w:hAnsi="Times New Roman" w:eastAsia="方正仿宋简体" w:cs="Times New Roman"/>
                <w:b/>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b/>
                <w:color w:val="000000" w:themeColor="text1"/>
                <w:kern w:val="0"/>
                <w:sz w:val="28"/>
                <w:szCs w:val="28"/>
                <w:lang w:eastAsia="zh-CN"/>
                <w14:textFill>
                  <w14:solidFill>
                    <w14:schemeClr w14:val="tx1"/>
                  </w14:solidFill>
                </w14:textFill>
              </w:rPr>
              <w:t>总氮产生</w:t>
            </w:r>
          </w:p>
          <w:p>
            <w:pPr>
              <w:widowControl/>
              <w:autoSpaceDE/>
              <w:autoSpaceDN/>
              <w:snapToGrid w:val="0"/>
              <w:jc w:val="center"/>
              <w:rPr>
                <w:rFonts w:ascii="Times New Roman" w:hAnsi="Times New Roman" w:eastAsia="方正仿宋简体" w:cs="Times New Roman"/>
                <w:b/>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b/>
                <w:color w:val="000000" w:themeColor="text1"/>
                <w:kern w:val="0"/>
                <w:sz w:val="28"/>
                <w:szCs w:val="28"/>
                <w:lang w:eastAsia="zh-CN"/>
                <w14:textFill>
                  <w14:solidFill>
                    <w14:schemeClr w14:val="tx1"/>
                  </w14:solidFill>
                </w14:textFill>
              </w:rPr>
              <w:t>（吨）</w:t>
            </w:r>
          </w:p>
        </w:tc>
        <w:tc>
          <w:tcPr>
            <w:tcW w:w="1059" w:type="pct"/>
            <w:tcBorders>
              <w:left w:val="single" w:color="000000" w:sz="6" w:space="0"/>
              <w:bottom w:val="single" w:color="000000" w:sz="6" w:space="0"/>
              <w:right w:val="single" w:color="000000" w:sz="6" w:space="0"/>
            </w:tcBorders>
            <w:vAlign w:val="center"/>
          </w:tcPr>
          <w:p>
            <w:pPr>
              <w:widowControl/>
              <w:autoSpaceDE/>
              <w:autoSpaceDN/>
              <w:snapToGrid w:val="0"/>
              <w:jc w:val="center"/>
              <w:rPr>
                <w:rFonts w:ascii="Times New Roman" w:hAnsi="Times New Roman" w:eastAsia="方正仿宋简体" w:cs="Times New Roman"/>
                <w:b/>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b/>
                <w:color w:val="000000" w:themeColor="text1"/>
                <w:kern w:val="0"/>
                <w:sz w:val="28"/>
                <w:szCs w:val="28"/>
                <w:lang w:eastAsia="zh-CN"/>
                <w14:textFill>
                  <w14:solidFill>
                    <w14:schemeClr w14:val="tx1"/>
                  </w14:solidFill>
                </w14:textFill>
              </w:rPr>
              <w:t>氨氮产生</w:t>
            </w:r>
          </w:p>
          <w:p>
            <w:pPr>
              <w:widowControl/>
              <w:autoSpaceDE/>
              <w:autoSpaceDN/>
              <w:snapToGrid w:val="0"/>
              <w:jc w:val="center"/>
              <w:rPr>
                <w:rFonts w:ascii="Times New Roman" w:hAnsi="Times New Roman" w:eastAsia="方正仿宋简体" w:cs="Times New Roman"/>
                <w:b/>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b/>
                <w:color w:val="000000" w:themeColor="text1"/>
                <w:kern w:val="0"/>
                <w:sz w:val="28"/>
                <w:szCs w:val="28"/>
                <w:lang w:eastAsia="zh-CN"/>
                <w14:textFill>
                  <w14:solidFill>
                    <w14:schemeClr w14:val="tx1"/>
                  </w14:solidFill>
                </w14:textFill>
              </w:rPr>
              <w:t>（吨）</w:t>
            </w:r>
          </w:p>
        </w:tc>
        <w:tc>
          <w:tcPr>
            <w:tcW w:w="1017" w:type="pct"/>
            <w:tcBorders>
              <w:left w:val="single" w:color="000000" w:sz="6" w:space="0"/>
              <w:bottom w:val="single" w:color="000000" w:sz="6" w:space="0"/>
            </w:tcBorders>
            <w:vAlign w:val="center"/>
          </w:tcPr>
          <w:p>
            <w:pPr>
              <w:widowControl/>
              <w:autoSpaceDE/>
              <w:autoSpaceDN/>
              <w:snapToGrid w:val="0"/>
              <w:jc w:val="center"/>
              <w:rPr>
                <w:rFonts w:ascii="Times New Roman" w:hAnsi="Times New Roman" w:eastAsia="方正仿宋简体" w:cs="Times New Roman"/>
                <w:b/>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b/>
                <w:color w:val="000000" w:themeColor="text1"/>
                <w:kern w:val="0"/>
                <w:sz w:val="28"/>
                <w:szCs w:val="28"/>
                <w:lang w:eastAsia="zh-CN"/>
                <w14:textFill>
                  <w14:solidFill>
                    <w14:schemeClr w14:val="tx1"/>
                  </w14:solidFill>
                </w14:textFill>
              </w:rPr>
              <w:t>总磷产生</w:t>
            </w:r>
          </w:p>
          <w:p>
            <w:pPr>
              <w:widowControl/>
              <w:autoSpaceDE/>
              <w:autoSpaceDN/>
              <w:snapToGrid w:val="0"/>
              <w:jc w:val="center"/>
              <w:rPr>
                <w:rFonts w:ascii="Times New Roman" w:hAnsi="Times New Roman" w:eastAsia="方正仿宋简体" w:cs="Times New Roman"/>
                <w:b/>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b/>
                <w:color w:val="000000" w:themeColor="text1"/>
                <w:kern w:val="0"/>
                <w:sz w:val="28"/>
                <w:szCs w:val="28"/>
                <w:lang w:eastAsia="zh-CN"/>
                <w14:textFill>
                  <w14:solidFill>
                    <w14:schemeClr w14:val="tx1"/>
                  </w14:solidFill>
                </w14:textFill>
              </w:rPr>
              <w:t>（吨）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trPr>
        <w:tc>
          <w:tcPr>
            <w:tcW w:w="936" w:type="pct"/>
            <w:tcBorders>
              <w:top w:val="single" w:color="000000" w:sz="6" w:space="0"/>
              <w:bottom w:val="single" w:color="000000" w:sz="6" w:space="0"/>
              <w:right w:val="single" w:color="000000" w:sz="6" w:space="0"/>
            </w:tcBorders>
            <w:vAlign w:val="center"/>
          </w:tcPr>
          <w:p>
            <w:pPr>
              <w:widowControl/>
              <w:autoSpaceDE/>
              <w:autoSpaceDN/>
              <w:snapToGrid w:val="0"/>
              <w:jc w:val="center"/>
              <w:rPr>
                <w:rFonts w:ascii="Times New Roman" w:hAnsi="Times New Roman" w:eastAsia="方正仿宋简体" w:cs="Times New Roman"/>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color w:val="000000" w:themeColor="text1"/>
                <w:kern w:val="0"/>
                <w:sz w:val="28"/>
                <w:szCs w:val="28"/>
                <w:lang w:eastAsia="zh-CN"/>
                <w14:textFill>
                  <w14:solidFill>
                    <w14:schemeClr w14:val="tx1"/>
                  </w14:solidFill>
                </w14:textFill>
              </w:rPr>
              <w:t>规模化</w:t>
            </w:r>
          </w:p>
          <w:p>
            <w:pPr>
              <w:widowControl/>
              <w:autoSpaceDE/>
              <w:autoSpaceDN/>
              <w:snapToGrid w:val="0"/>
              <w:jc w:val="center"/>
              <w:rPr>
                <w:rFonts w:ascii="Times New Roman" w:hAnsi="Times New Roman" w:eastAsia="方正仿宋简体" w:cs="Times New Roman"/>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color w:val="000000" w:themeColor="text1"/>
                <w:kern w:val="0"/>
                <w:sz w:val="28"/>
                <w:szCs w:val="28"/>
                <w:lang w:eastAsia="zh-CN"/>
                <w14:textFill>
                  <w14:solidFill>
                    <w14:schemeClr w14:val="tx1"/>
                  </w14:solidFill>
                </w14:textFill>
              </w:rPr>
              <w:t>养殖场</w:t>
            </w:r>
          </w:p>
        </w:tc>
        <w:tc>
          <w:tcPr>
            <w:tcW w:w="995" w:type="pct"/>
            <w:tcBorders>
              <w:top w:val="single" w:color="000000" w:sz="6" w:space="0"/>
              <w:left w:val="single" w:color="000000" w:sz="6" w:space="0"/>
              <w:bottom w:val="single" w:color="000000" w:sz="6" w:space="0"/>
              <w:right w:val="single" w:color="000000" w:sz="6" w:space="0"/>
            </w:tcBorders>
            <w:vAlign w:val="center"/>
          </w:tcPr>
          <w:p>
            <w:pPr>
              <w:autoSpaceDE w:val="0"/>
              <w:autoSpaceDN w:val="0"/>
              <w:snapToGrid w:val="0"/>
              <w:jc w:val="center"/>
              <w:rPr>
                <w:rFonts w:ascii="Times New Roman" w:hAnsi="Times New Roman" w:eastAsia="方正仿宋简体" w:cs="Times New Roman"/>
                <w:color w:val="000000"/>
                <w:sz w:val="28"/>
                <w:szCs w:val="28"/>
                <w:lang w:eastAsia="en-US"/>
              </w:rPr>
            </w:pPr>
            <w:r>
              <w:rPr>
                <w:rFonts w:ascii="Times New Roman" w:hAnsi="Times New Roman" w:eastAsia="方正仿宋简体" w:cs="Times New Roman"/>
                <w:color w:val="000000"/>
                <w:sz w:val="28"/>
                <w:szCs w:val="28"/>
                <w:lang w:eastAsia="en-US"/>
              </w:rPr>
              <w:t>7504.49</w:t>
            </w:r>
          </w:p>
        </w:tc>
        <w:tc>
          <w:tcPr>
            <w:tcW w:w="992" w:type="pct"/>
            <w:tcBorders>
              <w:top w:val="single" w:color="000000" w:sz="6" w:space="0"/>
              <w:left w:val="single" w:color="000000" w:sz="6" w:space="0"/>
              <w:bottom w:val="single" w:color="000000" w:sz="6" w:space="0"/>
              <w:right w:val="single" w:color="000000" w:sz="6" w:space="0"/>
            </w:tcBorders>
            <w:vAlign w:val="center"/>
          </w:tcPr>
          <w:p>
            <w:pPr>
              <w:autoSpaceDE w:val="0"/>
              <w:autoSpaceDN w:val="0"/>
              <w:snapToGrid w:val="0"/>
              <w:jc w:val="center"/>
              <w:rPr>
                <w:rFonts w:ascii="Times New Roman" w:hAnsi="Times New Roman" w:eastAsia="方正仿宋简体" w:cs="Times New Roman"/>
                <w:color w:val="000000"/>
                <w:sz w:val="28"/>
                <w:szCs w:val="28"/>
                <w:lang w:eastAsia="en-US"/>
              </w:rPr>
            </w:pPr>
            <w:r>
              <w:rPr>
                <w:rFonts w:ascii="Times New Roman" w:hAnsi="Times New Roman" w:eastAsia="方正仿宋简体" w:cs="Times New Roman"/>
                <w:color w:val="000000"/>
                <w:sz w:val="28"/>
                <w:szCs w:val="28"/>
                <w:lang w:eastAsia="en-US"/>
              </w:rPr>
              <w:t>379.60</w:t>
            </w:r>
          </w:p>
        </w:tc>
        <w:tc>
          <w:tcPr>
            <w:tcW w:w="1059" w:type="pct"/>
            <w:tcBorders>
              <w:top w:val="single" w:color="000000" w:sz="6" w:space="0"/>
              <w:left w:val="single" w:color="000000" w:sz="6" w:space="0"/>
              <w:bottom w:val="single" w:color="000000" w:sz="6" w:space="0"/>
              <w:right w:val="single" w:color="000000" w:sz="6" w:space="0"/>
            </w:tcBorders>
            <w:vAlign w:val="center"/>
          </w:tcPr>
          <w:p>
            <w:pPr>
              <w:autoSpaceDE w:val="0"/>
              <w:autoSpaceDN w:val="0"/>
              <w:snapToGrid w:val="0"/>
              <w:jc w:val="center"/>
              <w:rPr>
                <w:rFonts w:ascii="Times New Roman" w:hAnsi="Times New Roman" w:eastAsia="方正仿宋简体" w:cs="Times New Roman"/>
                <w:color w:val="000000"/>
                <w:sz w:val="28"/>
                <w:szCs w:val="28"/>
                <w:lang w:eastAsia="en-US"/>
              </w:rPr>
            </w:pPr>
            <w:r>
              <w:rPr>
                <w:rFonts w:ascii="Times New Roman" w:hAnsi="Times New Roman" w:eastAsia="方正仿宋简体" w:cs="Times New Roman"/>
                <w:color w:val="000000"/>
                <w:sz w:val="28"/>
                <w:szCs w:val="28"/>
                <w:lang w:eastAsia="en-US"/>
              </w:rPr>
              <w:t>64.98</w:t>
            </w:r>
          </w:p>
        </w:tc>
        <w:tc>
          <w:tcPr>
            <w:tcW w:w="1017" w:type="pct"/>
            <w:tcBorders>
              <w:top w:val="single" w:color="000000" w:sz="6" w:space="0"/>
              <w:left w:val="single" w:color="000000" w:sz="6" w:space="0"/>
              <w:bottom w:val="single" w:color="000000" w:sz="6" w:space="0"/>
            </w:tcBorders>
            <w:vAlign w:val="center"/>
          </w:tcPr>
          <w:p>
            <w:pPr>
              <w:autoSpaceDE w:val="0"/>
              <w:autoSpaceDN w:val="0"/>
              <w:snapToGrid w:val="0"/>
              <w:jc w:val="center"/>
              <w:rPr>
                <w:rFonts w:ascii="Times New Roman" w:hAnsi="Times New Roman" w:eastAsia="方正仿宋简体" w:cs="Times New Roman"/>
                <w:color w:val="000000"/>
                <w:sz w:val="28"/>
                <w:szCs w:val="28"/>
                <w:lang w:eastAsia="en-US"/>
              </w:rPr>
            </w:pPr>
            <w:r>
              <w:rPr>
                <w:rFonts w:ascii="Times New Roman" w:hAnsi="Times New Roman" w:eastAsia="方正仿宋简体" w:cs="Times New Roman"/>
                <w:color w:val="000000"/>
                <w:sz w:val="28"/>
                <w:szCs w:val="28"/>
                <w:lang w:eastAsia="en-US"/>
              </w:rPr>
              <w:t>74.30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trPr>
        <w:tc>
          <w:tcPr>
            <w:tcW w:w="936" w:type="pct"/>
            <w:tcBorders>
              <w:top w:val="single" w:color="000000" w:sz="6" w:space="0"/>
              <w:bottom w:val="single" w:color="000000" w:sz="6" w:space="0"/>
              <w:right w:val="single" w:color="000000" w:sz="6" w:space="0"/>
            </w:tcBorders>
            <w:vAlign w:val="center"/>
          </w:tcPr>
          <w:p>
            <w:pPr>
              <w:widowControl/>
              <w:autoSpaceDE/>
              <w:autoSpaceDN/>
              <w:snapToGrid w:val="0"/>
              <w:jc w:val="center"/>
              <w:rPr>
                <w:rFonts w:ascii="Times New Roman" w:hAnsi="Times New Roman" w:eastAsia="方正仿宋简体" w:cs="Times New Roman"/>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color w:val="000000" w:themeColor="text1"/>
                <w:kern w:val="0"/>
                <w:sz w:val="28"/>
                <w:szCs w:val="28"/>
                <w:lang w:eastAsia="zh-CN"/>
                <w14:textFill>
                  <w14:solidFill>
                    <w14:schemeClr w14:val="tx1"/>
                  </w14:solidFill>
                </w14:textFill>
              </w:rPr>
              <w:t>规模以下</w:t>
            </w:r>
          </w:p>
          <w:p>
            <w:pPr>
              <w:widowControl/>
              <w:autoSpaceDE/>
              <w:autoSpaceDN/>
              <w:snapToGrid w:val="0"/>
              <w:jc w:val="center"/>
              <w:rPr>
                <w:rFonts w:ascii="Times New Roman" w:hAnsi="Times New Roman" w:eastAsia="方正仿宋简体" w:cs="Times New Roman"/>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color w:val="000000" w:themeColor="text1"/>
                <w:kern w:val="0"/>
                <w:sz w:val="28"/>
                <w:szCs w:val="28"/>
                <w:lang w:eastAsia="zh-CN"/>
                <w14:textFill>
                  <w14:solidFill>
                    <w14:schemeClr w14:val="tx1"/>
                  </w14:solidFill>
                </w14:textFill>
              </w:rPr>
              <w:t>专业户</w:t>
            </w:r>
          </w:p>
        </w:tc>
        <w:tc>
          <w:tcPr>
            <w:tcW w:w="995" w:type="pct"/>
            <w:tcBorders>
              <w:top w:val="single" w:color="000000" w:sz="6" w:space="0"/>
              <w:left w:val="single" w:color="000000" w:sz="6" w:space="0"/>
              <w:bottom w:val="single" w:color="000000" w:sz="6" w:space="0"/>
              <w:right w:val="single" w:color="000000" w:sz="6" w:space="0"/>
            </w:tcBorders>
            <w:vAlign w:val="center"/>
          </w:tcPr>
          <w:p>
            <w:pPr>
              <w:autoSpaceDE w:val="0"/>
              <w:autoSpaceDN w:val="0"/>
              <w:snapToGrid w:val="0"/>
              <w:jc w:val="center"/>
              <w:rPr>
                <w:rFonts w:ascii="Times New Roman" w:hAnsi="Times New Roman" w:eastAsia="方正仿宋简体" w:cs="Times New Roman"/>
                <w:sz w:val="28"/>
                <w:szCs w:val="28"/>
                <w:lang w:eastAsia="en-US"/>
              </w:rPr>
            </w:pPr>
            <w:r>
              <w:rPr>
                <w:rFonts w:ascii="Times New Roman" w:hAnsi="Times New Roman" w:eastAsia="方正仿宋简体" w:cs="Times New Roman"/>
                <w:color w:val="000000"/>
                <w:sz w:val="28"/>
                <w:szCs w:val="28"/>
                <w:lang w:eastAsia="en-US"/>
              </w:rPr>
              <w:t>2141.84</w:t>
            </w:r>
          </w:p>
        </w:tc>
        <w:tc>
          <w:tcPr>
            <w:tcW w:w="992" w:type="pct"/>
            <w:tcBorders>
              <w:top w:val="single" w:color="000000" w:sz="6" w:space="0"/>
              <w:left w:val="single" w:color="000000" w:sz="6" w:space="0"/>
              <w:bottom w:val="single" w:color="000000" w:sz="6" w:space="0"/>
              <w:right w:val="single" w:color="000000" w:sz="6" w:space="0"/>
            </w:tcBorders>
            <w:vAlign w:val="center"/>
          </w:tcPr>
          <w:p>
            <w:pPr>
              <w:autoSpaceDE w:val="0"/>
              <w:autoSpaceDN w:val="0"/>
              <w:snapToGrid w:val="0"/>
              <w:jc w:val="center"/>
              <w:rPr>
                <w:rFonts w:ascii="Times New Roman" w:hAnsi="Times New Roman" w:eastAsia="方正仿宋简体" w:cs="Times New Roman"/>
                <w:sz w:val="28"/>
                <w:szCs w:val="28"/>
                <w:lang w:eastAsia="en-US"/>
              </w:rPr>
            </w:pPr>
            <w:r>
              <w:rPr>
                <w:rFonts w:ascii="Times New Roman" w:hAnsi="Times New Roman" w:eastAsia="方正仿宋简体" w:cs="Times New Roman"/>
                <w:color w:val="000000"/>
                <w:sz w:val="28"/>
                <w:szCs w:val="28"/>
                <w:lang w:eastAsia="en-US"/>
              </w:rPr>
              <w:t>92.21</w:t>
            </w:r>
          </w:p>
        </w:tc>
        <w:tc>
          <w:tcPr>
            <w:tcW w:w="1059" w:type="pct"/>
            <w:tcBorders>
              <w:top w:val="single" w:color="000000" w:sz="6" w:space="0"/>
              <w:left w:val="single" w:color="000000" w:sz="6" w:space="0"/>
              <w:bottom w:val="single" w:color="000000" w:sz="6" w:space="0"/>
              <w:right w:val="single" w:color="000000" w:sz="6" w:space="0"/>
            </w:tcBorders>
            <w:vAlign w:val="center"/>
          </w:tcPr>
          <w:p>
            <w:pPr>
              <w:autoSpaceDE w:val="0"/>
              <w:autoSpaceDN w:val="0"/>
              <w:snapToGrid w:val="0"/>
              <w:jc w:val="center"/>
              <w:rPr>
                <w:rFonts w:ascii="Times New Roman" w:hAnsi="Times New Roman" w:eastAsia="方正仿宋简体" w:cs="Times New Roman"/>
                <w:sz w:val="28"/>
                <w:szCs w:val="28"/>
                <w:lang w:eastAsia="en-US"/>
              </w:rPr>
            </w:pPr>
            <w:r>
              <w:rPr>
                <w:rFonts w:ascii="Times New Roman" w:hAnsi="Times New Roman" w:eastAsia="方正仿宋简体" w:cs="Times New Roman"/>
                <w:color w:val="000000"/>
                <w:sz w:val="28"/>
                <w:szCs w:val="28"/>
                <w:lang w:eastAsia="en-US"/>
              </w:rPr>
              <w:t>9.53</w:t>
            </w:r>
          </w:p>
        </w:tc>
        <w:tc>
          <w:tcPr>
            <w:tcW w:w="1017" w:type="pct"/>
            <w:tcBorders>
              <w:top w:val="single" w:color="000000" w:sz="6" w:space="0"/>
              <w:left w:val="single" w:color="000000" w:sz="6" w:space="0"/>
              <w:bottom w:val="single" w:color="000000" w:sz="6" w:space="0"/>
            </w:tcBorders>
            <w:vAlign w:val="center"/>
          </w:tcPr>
          <w:p>
            <w:pPr>
              <w:autoSpaceDE w:val="0"/>
              <w:autoSpaceDN w:val="0"/>
              <w:snapToGrid w:val="0"/>
              <w:jc w:val="center"/>
              <w:rPr>
                <w:rFonts w:ascii="Times New Roman" w:hAnsi="Times New Roman" w:eastAsia="方正仿宋简体" w:cs="Times New Roman"/>
                <w:sz w:val="28"/>
                <w:szCs w:val="28"/>
                <w:lang w:eastAsia="en-US"/>
              </w:rPr>
            </w:pPr>
            <w:r>
              <w:rPr>
                <w:rFonts w:ascii="Times New Roman" w:hAnsi="Times New Roman" w:eastAsia="方正仿宋简体" w:cs="Times New Roman"/>
                <w:color w:val="000000"/>
                <w:sz w:val="28"/>
                <w:szCs w:val="28"/>
                <w:lang w:eastAsia="en-US"/>
              </w:rPr>
              <w:t>23.32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trPr>
        <w:tc>
          <w:tcPr>
            <w:tcW w:w="936" w:type="pct"/>
            <w:tcBorders>
              <w:top w:val="single" w:color="000000" w:sz="6" w:space="0"/>
              <w:right w:val="single" w:color="000000" w:sz="6" w:space="0"/>
            </w:tcBorders>
            <w:vAlign w:val="center"/>
          </w:tcPr>
          <w:p>
            <w:pPr>
              <w:widowControl/>
              <w:autoSpaceDE/>
              <w:autoSpaceDN/>
              <w:snapToGrid w:val="0"/>
              <w:jc w:val="center"/>
              <w:rPr>
                <w:rFonts w:ascii="Times New Roman" w:hAnsi="Times New Roman" w:eastAsia="方正仿宋简体" w:cs="Times New Roman"/>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color w:val="000000" w:themeColor="text1"/>
                <w:kern w:val="0"/>
                <w:sz w:val="28"/>
                <w:szCs w:val="28"/>
                <w:lang w:eastAsia="zh-CN"/>
                <w14:textFill>
                  <w14:solidFill>
                    <w14:schemeClr w14:val="tx1"/>
                  </w14:solidFill>
                </w14:textFill>
              </w:rPr>
              <w:t>合计</w:t>
            </w:r>
          </w:p>
        </w:tc>
        <w:tc>
          <w:tcPr>
            <w:tcW w:w="995" w:type="pct"/>
            <w:tcBorders>
              <w:top w:val="single" w:color="000000" w:sz="6" w:space="0"/>
              <w:left w:val="single" w:color="000000" w:sz="6" w:space="0"/>
              <w:right w:val="single" w:color="000000" w:sz="6" w:space="0"/>
            </w:tcBorders>
            <w:vAlign w:val="center"/>
          </w:tcPr>
          <w:p>
            <w:pPr>
              <w:autoSpaceDE w:val="0"/>
              <w:autoSpaceDN w:val="0"/>
              <w:snapToGrid w:val="0"/>
              <w:jc w:val="center"/>
              <w:rPr>
                <w:rFonts w:ascii="Times New Roman" w:hAnsi="Times New Roman" w:eastAsia="方正仿宋简体" w:cs="Times New Roman"/>
                <w:color w:val="000000"/>
                <w:sz w:val="28"/>
                <w:szCs w:val="28"/>
                <w:lang w:eastAsia="en-US"/>
              </w:rPr>
            </w:pPr>
            <w:r>
              <w:rPr>
                <w:rFonts w:ascii="Times New Roman" w:hAnsi="Times New Roman" w:eastAsia="方正仿宋简体" w:cs="Times New Roman"/>
                <w:color w:val="000000"/>
                <w:sz w:val="28"/>
                <w:szCs w:val="28"/>
                <w:lang w:eastAsia="en-US"/>
              </w:rPr>
              <w:t>9646.33</w:t>
            </w:r>
          </w:p>
        </w:tc>
        <w:tc>
          <w:tcPr>
            <w:tcW w:w="992" w:type="pct"/>
            <w:tcBorders>
              <w:top w:val="single" w:color="000000" w:sz="6" w:space="0"/>
              <w:left w:val="single" w:color="000000" w:sz="6" w:space="0"/>
              <w:right w:val="single" w:color="000000" w:sz="6" w:space="0"/>
            </w:tcBorders>
            <w:vAlign w:val="center"/>
          </w:tcPr>
          <w:p>
            <w:pPr>
              <w:autoSpaceDE w:val="0"/>
              <w:autoSpaceDN w:val="0"/>
              <w:snapToGrid w:val="0"/>
              <w:jc w:val="center"/>
              <w:rPr>
                <w:rFonts w:ascii="Times New Roman" w:hAnsi="Times New Roman" w:eastAsia="方正仿宋简体" w:cs="Times New Roman"/>
                <w:color w:val="000000"/>
                <w:sz w:val="28"/>
                <w:szCs w:val="28"/>
                <w:lang w:eastAsia="en-US"/>
              </w:rPr>
            </w:pPr>
            <w:r>
              <w:rPr>
                <w:rFonts w:ascii="Times New Roman" w:hAnsi="Times New Roman" w:eastAsia="方正仿宋简体" w:cs="Times New Roman"/>
                <w:color w:val="000000"/>
                <w:sz w:val="28"/>
                <w:szCs w:val="28"/>
                <w:lang w:eastAsia="en-US"/>
              </w:rPr>
              <w:t>471.81</w:t>
            </w:r>
          </w:p>
        </w:tc>
        <w:tc>
          <w:tcPr>
            <w:tcW w:w="1059" w:type="pct"/>
            <w:tcBorders>
              <w:top w:val="single" w:color="000000" w:sz="6" w:space="0"/>
              <w:left w:val="single" w:color="000000" w:sz="6" w:space="0"/>
              <w:right w:val="single" w:color="000000" w:sz="6" w:space="0"/>
            </w:tcBorders>
            <w:vAlign w:val="center"/>
          </w:tcPr>
          <w:p>
            <w:pPr>
              <w:autoSpaceDE w:val="0"/>
              <w:autoSpaceDN w:val="0"/>
              <w:snapToGrid w:val="0"/>
              <w:jc w:val="center"/>
              <w:rPr>
                <w:rFonts w:ascii="Times New Roman" w:hAnsi="Times New Roman" w:eastAsia="方正仿宋简体" w:cs="Times New Roman"/>
                <w:color w:val="000000"/>
                <w:sz w:val="28"/>
                <w:szCs w:val="28"/>
                <w:lang w:eastAsia="en-US"/>
              </w:rPr>
            </w:pPr>
            <w:r>
              <w:rPr>
                <w:rFonts w:ascii="Times New Roman" w:hAnsi="Times New Roman" w:eastAsia="方正仿宋简体" w:cs="Times New Roman"/>
                <w:color w:val="000000"/>
                <w:sz w:val="28"/>
                <w:szCs w:val="28"/>
                <w:lang w:eastAsia="en-US"/>
              </w:rPr>
              <w:t>74.51</w:t>
            </w:r>
          </w:p>
        </w:tc>
        <w:tc>
          <w:tcPr>
            <w:tcW w:w="1017" w:type="pct"/>
            <w:tcBorders>
              <w:top w:val="single" w:color="000000" w:sz="6" w:space="0"/>
              <w:left w:val="single" w:color="000000" w:sz="6" w:space="0"/>
            </w:tcBorders>
            <w:vAlign w:val="center"/>
          </w:tcPr>
          <w:p>
            <w:pPr>
              <w:autoSpaceDE w:val="0"/>
              <w:autoSpaceDN w:val="0"/>
              <w:snapToGrid w:val="0"/>
              <w:jc w:val="center"/>
              <w:rPr>
                <w:rFonts w:ascii="Times New Roman" w:hAnsi="Times New Roman" w:eastAsia="方正仿宋简体" w:cs="Times New Roman"/>
                <w:color w:val="000000"/>
                <w:sz w:val="28"/>
                <w:szCs w:val="28"/>
                <w:lang w:eastAsia="en-US"/>
              </w:rPr>
            </w:pPr>
            <w:r>
              <w:rPr>
                <w:rFonts w:ascii="Times New Roman" w:hAnsi="Times New Roman" w:eastAsia="方正仿宋简体" w:cs="Times New Roman"/>
                <w:color w:val="000000"/>
                <w:sz w:val="28"/>
                <w:szCs w:val="28"/>
                <w:lang w:eastAsia="en-US"/>
              </w:rPr>
              <w:t>97.62</w:t>
            </w:r>
          </w:p>
        </w:tc>
      </w:tr>
    </w:tbl>
    <w:p>
      <w:pPr>
        <w:tabs>
          <w:tab w:val="left" w:pos="1399"/>
        </w:tabs>
        <w:adjustRightInd w:val="0"/>
        <w:snapToGrid w:val="0"/>
        <w:spacing w:line="360" w:lineRule="auto"/>
        <w:jc w:val="center"/>
        <w:rPr>
          <w:rFonts w:ascii="Times New Roman" w:hAnsi="Times New Roman" w:eastAsia="方正仿宋简体"/>
          <w:b/>
          <w:bCs/>
          <w:sz w:val="32"/>
          <w:szCs w:val="32"/>
        </w:rPr>
      </w:pPr>
    </w:p>
    <w:p>
      <w:pPr>
        <w:tabs>
          <w:tab w:val="left" w:pos="1399"/>
        </w:tabs>
        <w:adjustRightInd w:val="0"/>
        <w:snapToGrid w:val="0"/>
        <w:spacing w:line="360" w:lineRule="auto"/>
        <w:jc w:val="center"/>
        <w:rPr>
          <w:rFonts w:ascii="Times New Roman" w:hAnsi="Times New Roman" w:eastAsia="方正仿宋简体"/>
          <w:b/>
          <w:bCs/>
          <w:sz w:val="32"/>
          <w:szCs w:val="32"/>
        </w:rPr>
      </w:pPr>
    </w:p>
    <w:p>
      <w:pPr>
        <w:tabs>
          <w:tab w:val="left" w:pos="1399"/>
        </w:tabs>
        <w:adjustRightInd w:val="0"/>
        <w:snapToGrid w:val="0"/>
        <w:spacing w:line="360" w:lineRule="auto"/>
        <w:jc w:val="center"/>
        <w:rPr>
          <w:rFonts w:ascii="Times New Roman" w:hAnsi="Times New Roman" w:eastAsia="方正仿宋简体"/>
          <w:b/>
          <w:bCs/>
          <w:sz w:val="32"/>
          <w:szCs w:val="32"/>
        </w:rPr>
      </w:pPr>
      <w:r>
        <w:rPr>
          <w:rFonts w:ascii="Times New Roman" w:hAnsi="Times New Roman" w:eastAsia="方正仿宋简体"/>
          <w:sz w:val="32"/>
          <w:szCs w:val="32"/>
        </w:rPr>
        <w:drawing>
          <wp:inline distT="0" distB="0" distL="0" distR="0">
            <wp:extent cx="4572000" cy="2743200"/>
            <wp:effectExtent l="0" t="0" r="19050" b="1905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tabs>
          <w:tab w:val="left" w:pos="1399"/>
        </w:tabs>
        <w:adjustRightInd w:val="0"/>
        <w:snapToGrid w:val="0"/>
        <w:spacing w:line="360" w:lineRule="auto"/>
        <w:jc w:val="center"/>
        <w:rPr>
          <w:rFonts w:ascii="Times New Roman" w:hAnsi="Times New Roman" w:eastAsia="方正仿宋简体"/>
          <w:b/>
          <w:snapToGrid w:val="0"/>
          <w:sz w:val="32"/>
          <w:szCs w:val="32"/>
        </w:rPr>
      </w:pPr>
      <w:r>
        <w:rPr>
          <w:rFonts w:ascii="Times New Roman" w:hAnsi="Times New Roman" w:eastAsia="方正仿宋简体"/>
          <w:b/>
          <w:bCs/>
          <w:sz w:val="32"/>
          <w:szCs w:val="32"/>
        </w:rPr>
        <w:t>图2.4-8</w:t>
      </w:r>
      <w:r>
        <w:rPr>
          <w:rFonts w:ascii="Times New Roman" w:hAnsi="Times New Roman" w:eastAsia="方正仿宋简体"/>
          <w:b/>
          <w:snapToGrid w:val="0"/>
          <w:sz w:val="32"/>
          <w:szCs w:val="32"/>
        </w:rPr>
        <w:t>全区畜禽养殖污染物产生情况</w:t>
      </w:r>
      <w:r>
        <w:rPr>
          <w:rFonts w:ascii="Times New Roman" w:hAnsi="Times New Roman" w:eastAsia="方正仿宋简体"/>
          <w:b/>
          <w:bCs/>
          <w:sz w:val="32"/>
          <w:szCs w:val="32"/>
        </w:rPr>
        <w:t>图</w:t>
      </w:r>
    </w:p>
    <w:p>
      <w:pPr>
        <w:tabs>
          <w:tab w:val="left" w:pos="1399"/>
        </w:tabs>
        <w:spacing w:before="87" w:line="560" w:lineRule="exact"/>
        <w:ind w:right="84"/>
        <w:jc w:val="center"/>
        <w:rPr>
          <w:rFonts w:ascii="Times New Roman" w:hAnsi="Times New Roman" w:eastAsia="方正仿宋简体"/>
          <w:b/>
          <w:snapToGrid w:val="0"/>
          <w:sz w:val="32"/>
          <w:szCs w:val="32"/>
        </w:rPr>
      </w:pPr>
    </w:p>
    <w:p>
      <w:pPr>
        <w:tabs>
          <w:tab w:val="left" w:pos="1399"/>
        </w:tabs>
        <w:spacing w:before="87" w:line="560" w:lineRule="exact"/>
        <w:ind w:right="84"/>
        <w:jc w:val="center"/>
        <w:rPr>
          <w:rFonts w:ascii="Times New Roman" w:hAnsi="Times New Roman" w:eastAsia="方正仿宋简体"/>
          <w:b/>
          <w:snapToGrid w:val="0"/>
          <w:sz w:val="32"/>
          <w:szCs w:val="32"/>
        </w:rPr>
      </w:pPr>
    </w:p>
    <w:p>
      <w:pPr>
        <w:tabs>
          <w:tab w:val="left" w:pos="1399"/>
        </w:tabs>
        <w:spacing w:before="87" w:line="560" w:lineRule="exact"/>
        <w:ind w:right="84"/>
        <w:jc w:val="center"/>
        <w:rPr>
          <w:rFonts w:ascii="Times New Roman" w:hAnsi="Times New Roman" w:eastAsia="方正仿宋简体"/>
          <w:b/>
          <w:snapToGrid w:val="0"/>
          <w:sz w:val="32"/>
          <w:szCs w:val="32"/>
        </w:rPr>
      </w:pPr>
    </w:p>
    <w:p>
      <w:pPr>
        <w:tabs>
          <w:tab w:val="left" w:pos="1399"/>
        </w:tabs>
        <w:spacing w:before="87" w:line="560" w:lineRule="exact"/>
        <w:ind w:right="84"/>
        <w:jc w:val="center"/>
        <w:rPr>
          <w:rFonts w:ascii="Times New Roman" w:hAnsi="Times New Roman" w:eastAsia="方正仿宋简体"/>
          <w:b/>
          <w:snapToGrid w:val="0"/>
          <w:sz w:val="32"/>
          <w:szCs w:val="32"/>
        </w:rPr>
      </w:pPr>
    </w:p>
    <w:p>
      <w:pPr>
        <w:tabs>
          <w:tab w:val="left" w:pos="1399"/>
        </w:tabs>
        <w:spacing w:before="87" w:line="560" w:lineRule="exact"/>
        <w:ind w:right="84"/>
        <w:jc w:val="center"/>
        <w:rPr>
          <w:rFonts w:ascii="Times New Roman" w:hAnsi="Times New Roman" w:eastAsia="方正仿宋简体"/>
          <w:b/>
          <w:snapToGrid w:val="0"/>
          <w:sz w:val="32"/>
          <w:szCs w:val="32"/>
        </w:rPr>
      </w:pPr>
      <w:r>
        <w:rPr>
          <w:rFonts w:ascii="Times New Roman" w:hAnsi="Times New Roman" w:eastAsia="方正仿宋简体"/>
          <w:b/>
          <w:snapToGrid w:val="0"/>
          <w:sz w:val="32"/>
          <w:szCs w:val="32"/>
        </w:rPr>
        <w:t>表2.4-13</w:t>
      </w:r>
      <w:r>
        <w:rPr>
          <w:rFonts w:ascii="Times New Roman" w:hAnsi="Times New Roman" w:eastAsia="方正仿宋简体"/>
          <w:b/>
          <w:snapToGrid w:val="0"/>
          <w:sz w:val="32"/>
          <w:szCs w:val="32"/>
        </w:rPr>
        <w:tab/>
      </w:r>
      <w:r>
        <w:rPr>
          <w:rFonts w:ascii="Times New Roman" w:hAnsi="Times New Roman" w:eastAsia="方正仿宋简体"/>
          <w:b/>
          <w:snapToGrid w:val="0"/>
          <w:sz w:val="32"/>
          <w:szCs w:val="32"/>
        </w:rPr>
        <w:t>全区畜禽养殖污染物排放情况</w:t>
      </w:r>
    </w:p>
    <w:tbl>
      <w:tblPr>
        <w:tblStyle w:val="58"/>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642"/>
        <w:gridCol w:w="1743"/>
        <w:gridCol w:w="1738"/>
        <w:gridCol w:w="1855"/>
        <w:gridCol w:w="178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0" w:hRule="atLeast"/>
        </w:trPr>
        <w:tc>
          <w:tcPr>
            <w:tcW w:w="937" w:type="pct"/>
            <w:tcBorders>
              <w:bottom w:val="single" w:color="000000" w:sz="6" w:space="0"/>
              <w:right w:val="single" w:color="000000" w:sz="6" w:space="0"/>
            </w:tcBorders>
            <w:vAlign w:val="center"/>
          </w:tcPr>
          <w:p>
            <w:pPr>
              <w:widowControl/>
              <w:autoSpaceDE/>
              <w:autoSpaceDN/>
              <w:snapToGrid w:val="0"/>
              <w:jc w:val="center"/>
              <w:rPr>
                <w:rFonts w:ascii="Times New Roman" w:hAnsi="Times New Roman" w:eastAsia="方正仿宋简体" w:cs="Times New Roman"/>
                <w:b/>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b/>
                <w:color w:val="000000" w:themeColor="text1"/>
                <w:kern w:val="0"/>
                <w:sz w:val="28"/>
                <w:szCs w:val="28"/>
                <w:lang w:eastAsia="zh-CN"/>
                <w14:textFill>
                  <w14:solidFill>
                    <w14:schemeClr w14:val="tx1"/>
                  </w14:solidFill>
                </w14:textFill>
              </w:rPr>
              <w:t>畜种</w:t>
            </w:r>
          </w:p>
        </w:tc>
        <w:tc>
          <w:tcPr>
            <w:tcW w:w="995" w:type="pct"/>
            <w:tcBorders>
              <w:left w:val="single" w:color="000000" w:sz="6" w:space="0"/>
              <w:bottom w:val="single" w:color="000000" w:sz="6" w:space="0"/>
              <w:right w:val="single" w:color="000000" w:sz="6" w:space="0"/>
            </w:tcBorders>
            <w:vAlign w:val="center"/>
          </w:tcPr>
          <w:p>
            <w:pPr>
              <w:widowControl/>
              <w:autoSpaceDE/>
              <w:autoSpaceDN/>
              <w:snapToGrid w:val="0"/>
              <w:jc w:val="center"/>
              <w:rPr>
                <w:rFonts w:ascii="Times New Roman" w:hAnsi="Times New Roman" w:eastAsia="方正仿宋简体" w:cs="Times New Roman"/>
                <w:b/>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b/>
                <w:color w:val="000000" w:themeColor="text1"/>
                <w:kern w:val="0"/>
                <w:sz w:val="28"/>
                <w:szCs w:val="28"/>
                <w:lang w:eastAsia="zh-CN"/>
                <w14:textFill>
                  <w14:solidFill>
                    <w14:schemeClr w14:val="tx1"/>
                  </w14:solidFill>
                </w14:textFill>
              </w:rPr>
              <w:t>化学需氧量</w:t>
            </w:r>
          </w:p>
          <w:p>
            <w:pPr>
              <w:widowControl/>
              <w:autoSpaceDE/>
              <w:autoSpaceDN/>
              <w:snapToGrid w:val="0"/>
              <w:jc w:val="center"/>
              <w:rPr>
                <w:rFonts w:ascii="Times New Roman" w:hAnsi="Times New Roman" w:eastAsia="方正仿宋简体" w:cs="Times New Roman"/>
                <w:b/>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b/>
                <w:color w:val="000000" w:themeColor="text1"/>
                <w:kern w:val="0"/>
                <w:sz w:val="28"/>
                <w:szCs w:val="28"/>
                <w:lang w:eastAsia="zh-CN"/>
                <w14:textFill>
                  <w14:solidFill>
                    <w14:schemeClr w14:val="tx1"/>
                  </w14:solidFill>
                </w14:textFill>
              </w:rPr>
              <w:t>产生（吨）</w:t>
            </w:r>
          </w:p>
        </w:tc>
        <w:tc>
          <w:tcPr>
            <w:tcW w:w="992" w:type="pct"/>
            <w:tcBorders>
              <w:left w:val="single" w:color="000000" w:sz="6" w:space="0"/>
              <w:bottom w:val="single" w:color="000000" w:sz="6" w:space="0"/>
              <w:right w:val="single" w:color="000000" w:sz="6" w:space="0"/>
            </w:tcBorders>
            <w:vAlign w:val="center"/>
          </w:tcPr>
          <w:p>
            <w:pPr>
              <w:widowControl/>
              <w:autoSpaceDE/>
              <w:autoSpaceDN/>
              <w:snapToGrid w:val="0"/>
              <w:jc w:val="center"/>
              <w:rPr>
                <w:rFonts w:ascii="Times New Roman" w:hAnsi="Times New Roman" w:eastAsia="方正仿宋简体" w:cs="Times New Roman"/>
                <w:b/>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b/>
                <w:color w:val="000000" w:themeColor="text1"/>
                <w:kern w:val="0"/>
                <w:sz w:val="28"/>
                <w:szCs w:val="28"/>
                <w:lang w:eastAsia="zh-CN"/>
                <w14:textFill>
                  <w14:solidFill>
                    <w14:schemeClr w14:val="tx1"/>
                  </w14:solidFill>
                </w14:textFill>
              </w:rPr>
              <w:t>总氮产生</w:t>
            </w:r>
          </w:p>
          <w:p>
            <w:pPr>
              <w:widowControl/>
              <w:autoSpaceDE/>
              <w:autoSpaceDN/>
              <w:snapToGrid w:val="0"/>
              <w:jc w:val="center"/>
              <w:rPr>
                <w:rFonts w:ascii="Times New Roman" w:hAnsi="Times New Roman" w:eastAsia="方正仿宋简体" w:cs="Times New Roman"/>
                <w:b/>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b/>
                <w:color w:val="000000" w:themeColor="text1"/>
                <w:kern w:val="0"/>
                <w:sz w:val="28"/>
                <w:szCs w:val="28"/>
                <w:lang w:eastAsia="zh-CN"/>
                <w14:textFill>
                  <w14:solidFill>
                    <w14:schemeClr w14:val="tx1"/>
                  </w14:solidFill>
                </w14:textFill>
              </w:rPr>
              <w:t>（吨）</w:t>
            </w:r>
          </w:p>
        </w:tc>
        <w:tc>
          <w:tcPr>
            <w:tcW w:w="1059" w:type="pct"/>
            <w:tcBorders>
              <w:left w:val="single" w:color="000000" w:sz="6" w:space="0"/>
              <w:bottom w:val="single" w:color="000000" w:sz="6" w:space="0"/>
              <w:right w:val="single" w:color="000000" w:sz="6" w:space="0"/>
            </w:tcBorders>
            <w:vAlign w:val="center"/>
          </w:tcPr>
          <w:p>
            <w:pPr>
              <w:widowControl/>
              <w:autoSpaceDE/>
              <w:autoSpaceDN/>
              <w:snapToGrid w:val="0"/>
              <w:jc w:val="center"/>
              <w:rPr>
                <w:rFonts w:ascii="Times New Roman" w:hAnsi="Times New Roman" w:eastAsia="方正仿宋简体" w:cs="Times New Roman"/>
                <w:b/>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b/>
                <w:color w:val="000000" w:themeColor="text1"/>
                <w:kern w:val="0"/>
                <w:sz w:val="28"/>
                <w:szCs w:val="28"/>
                <w:lang w:eastAsia="zh-CN"/>
                <w14:textFill>
                  <w14:solidFill>
                    <w14:schemeClr w14:val="tx1"/>
                  </w14:solidFill>
                </w14:textFill>
              </w:rPr>
              <w:t>氨氮产生</w:t>
            </w:r>
          </w:p>
          <w:p>
            <w:pPr>
              <w:widowControl/>
              <w:autoSpaceDE/>
              <w:autoSpaceDN/>
              <w:snapToGrid w:val="0"/>
              <w:jc w:val="center"/>
              <w:rPr>
                <w:rFonts w:ascii="Times New Roman" w:hAnsi="Times New Roman" w:eastAsia="方正仿宋简体" w:cs="Times New Roman"/>
                <w:b/>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b/>
                <w:color w:val="000000" w:themeColor="text1"/>
                <w:kern w:val="0"/>
                <w:sz w:val="28"/>
                <w:szCs w:val="28"/>
                <w:lang w:eastAsia="zh-CN"/>
                <w14:textFill>
                  <w14:solidFill>
                    <w14:schemeClr w14:val="tx1"/>
                  </w14:solidFill>
                </w14:textFill>
              </w:rPr>
              <w:t>（吨）</w:t>
            </w:r>
          </w:p>
        </w:tc>
        <w:tc>
          <w:tcPr>
            <w:tcW w:w="1017" w:type="pct"/>
            <w:tcBorders>
              <w:left w:val="single" w:color="000000" w:sz="6" w:space="0"/>
              <w:bottom w:val="single" w:color="000000" w:sz="6" w:space="0"/>
            </w:tcBorders>
            <w:vAlign w:val="center"/>
          </w:tcPr>
          <w:p>
            <w:pPr>
              <w:widowControl/>
              <w:autoSpaceDE/>
              <w:autoSpaceDN/>
              <w:snapToGrid w:val="0"/>
              <w:jc w:val="center"/>
              <w:rPr>
                <w:rFonts w:ascii="Times New Roman" w:hAnsi="Times New Roman" w:eastAsia="方正仿宋简体" w:cs="Times New Roman"/>
                <w:b/>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b/>
                <w:color w:val="000000" w:themeColor="text1"/>
                <w:kern w:val="0"/>
                <w:sz w:val="28"/>
                <w:szCs w:val="28"/>
                <w:lang w:eastAsia="zh-CN"/>
                <w14:textFill>
                  <w14:solidFill>
                    <w14:schemeClr w14:val="tx1"/>
                  </w14:solidFill>
                </w14:textFill>
              </w:rPr>
              <w:t>总磷产生</w:t>
            </w:r>
          </w:p>
          <w:p>
            <w:pPr>
              <w:widowControl/>
              <w:autoSpaceDE/>
              <w:autoSpaceDN/>
              <w:snapToGrid w:val="0"/>
              <w:jc w:val="center"/>
              <w:rPr>
                <w:rFonts w:ascii="Times New Roman" w:hAnsi="Times New Roman" w:eastAsia="方正仿宋简体" w:cs="Times New Roman"/>
                <w:b/>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b/>
                <w:color w:val="000000" w:themeColor="text1"/>
                <w:kern w:val="0"/>
                <w:sz w:val="28"/>
                <w:szCs w:val="28"/>
                <w:lang w:eastAsia="zh-CN"/>
                <w14:textFill>
                  <w14:solidFill>
                    <w14:schemeClr w14:val="tx1"/>
                  </w14:solidFill>
                </w14:textFill>
              </w:rPr>
              <w:t>（吨）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trPr>
        <w:tc>
          <w:tcPr>
            <w:tcW w:w="937" w:type="pct"/>
            <w:tcBorders>
              <w:top w:val="single" w:color="000000" w:sz="6" w:space="0"/>
              <w:bottom w:val="single" w:color="000000" w:sz="6" w:space="0"/>
              <w:right w:val="single" w:color="000000" w:sz="6" w:space="0"/>
            </w:tcBorders>
            <w:vAlign w:val="center"/>
          </w:tcPr>
          <w:p>
            <w:pPr>
              <w:widowControl/>
              <w:autoSpaceDE/>
              <w:autoSpaceDN/>
              <w:snapToGrid w:val="0"/>
              <w:jc w:val="center"/>
              <w:rPr>
                <w:rFonts w:ascii="Times New Roman" w:hAnsi="Times New Roman" w:eastAsia="方正仿宋简体" w:cs="Times New Roman"/>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color w:val="000000" w:themeColor="text1"/>
                <w:kern w:val="0"/>
                <w:sz w:val="28"/>
                <w:szCs w:val="28"/>
                <w:lang w:eastAsia="zh-CN"/>
                <w14:textFill>
                  <w14:solidFill>
                    <w14:schemeClr w14:val="tx1"/>
                  </w14:solidFill>
                </w14:textFill>
              </w:rPr>
              <w:t>规模化养殖场</w:t>
            </w:r>
          </w:p>
        </w:tc>
        <w:tc>
          <w:tcPr>
            <w:tcW w:w="995" w:type="pct"/>
            <w:tcBorders>
              <w:top w:val="single" w:color="000000" w:sz="6" w:space="0"/>
              <w:left w:val="single" w:color="000000" w:sz="6" w:space="0"/>
              <w:bottom w:val="single" w:color="000000" w:sz="6" w:space="0"/>
              <w:right w:val="single" w:color="000000" w:sz="6" w:space="0"/>
            </w:tcBorders>
            <w:vAlign w:val="center"/>
          </w:tcPr>
          <w:p>
            <w:pPr>
              <w:autoSpaceDE w:val="0"/>
              <w:autoSpaceDN w:val="0"/>
              <w:snapToGrid w:val="0"/>
              <w:jc w:val="center"/>
              <w:rPr>
                <w:rFonts w:ascii="Times New Roman" w:hAnsi="Times New Roman" w:eastAsia="方正仿宋简体" w:cs="Times New Roman"/>
                <w:sz w:val="28"/>
                <w:szCs w:val="28"/>
                <w:lang w:eastAsia="en-US"/>
              </w:rPr>
            </w:pPr>
            <w:r>
              <w:rPr>
                <w:rFonts w:ascii="Times New Roman" w:hAnsi="Times New Roman" w:eastAsia="方正仿宋简体" w:cs="Times New Roman"/>
                <w:color w:val="000000"/>
                <w:sz w:val="28"/>
                <w:szCs w:val="28"/>
                <w:lang w:eastAsia="en-US"/>
              </w:rPr>
              <w:t>568.98</w:t>
            </w:r>
          </w:p>
        </w:tc>
        <w:tc>
          <w:tcPr>
            <w:tcW w:w="992" w:type="pct"/>
            <w:tcBorders>
              <w:top w:val="single" w:color="000000" w:sz="6" w:space="0"/>
              <w:left w:val="single" w:color="000000" w:sz="6" w:space="0"/>
              <w:bottom w:val="single" w:color="000000" w:sz="6" w:space="0"/>
              <w:right w:val="single" w:color="000000" w:sz="6" w:space="0"/>
            </w:tcBorders>
            <w:vAlign w:val="center"/>
          </w:tcPr>
          <w:p>
            <w:pPr>
              <w:autoSpaceDE w:val="0"/>
              <w:autoSpaceDN w:val="0"/>
              <w:snapToGrid w:val="0"/>
              <w:jc w:val="center"/>
              <w:rPr>
                <w:rFonts w:ascii="Times New Roman" w:hAnsi="Times New Roman" w:eastAsia="方正仿宋简体" w:cs="Times New Roman"/>
                <w:sz w:val="28"/>
                <w:szCs w:val="28"/>
                <w:lang w:eastAsia="en-US"/>
              </w:rPr>
            </w:pPr>
            <w:r>
              <w:rPr>
                <w:rFonts w:ascii="Times New Roman" w:hAnsi="Times New Roman" w:eastAsia="方正仿宋简体" w:cs="Times New Roman"/>
                <w:color w:val="000000"/>
                <w:sz w:val="28"/>
                <w:szCs w:val="28"/>
                <w:lang w:eastAsia="en-US"/>
              </w:rPr>
              <w:t>52.93</w:t>
            </w:r>
          </w:p>
        </w:tc>
        <w:tc>
          <w:tcPr>
            <w:tcW w:w="1059" w:type="pct"/>
            <w:tcBorders>
              <w:top w:val="single" w:color="000000" w:sz="6" w:space="0"/>
              <w:left w:val="single" w:color="000000" w:sz="6" w:space="0"/>
              <w:bottom w:val="single" w:color="000000" w:sz="6" w:space="0"/>
              <w:right w:val="single" w:color="000000" w:sz="6" w:space="0"/>
            </w:tcBorders>
            <w:vAlign w:val="center"/>
          </w:tcPr>
          <w:p>
            <w:pPr>
              <w:autoSpaceDE w:val="0"/>
              <w:autoSpaceDN w:val="0"/>
              <w:snapToGrid w:val="0"/>
              <w:jc w:val="center"/>
              <w:rPr>
                <w:rFonts w:ascii="Times New Roman" w:hAnsi="Times New Roman" w:eastAsia="方正仿宋简体" w:cs="Times New Roman"/>
                <w:sz w:val="28"/>
                <w:szCs w:val="28"/>
                <w:lang w:eastAsia="en-US"/>
              </w:rPr>
            </w:pPr>
            <w:r>
              <w:rPr>
                <w:rFonts w:ascii="Times New Roman" w:hAnsi="Times New Roman" w:eastAsia="方正仿宋简体" w:cs="Times New Roman"/>
                <w:color w:val="000000"/>
                <w:sz w:val="28"/>
                <w:szCs w:val="28"/>
                <w:lang w:eastAsia="en-US"/>
              </w:rPr>
              <w:t>10.39</w:t>
            </w:r>
          </w:p>
        </w:tc>
        <w:tc>
          <w:tcPr>
            <w:tcW w:w="1017" w:type="pct"/>
            <w:tcBorders>
              <w:top w:val="single" w:color="000000" w:sz="6" w:space="0"/>
              <w:left w:val="single" w:color="000000" w:sz="6" w:space="0"/>
              <w:bottom w:val="single" w:color="000000" w:sz="6" w:space="0"/>
            </w:tcBorders>
            <w:vAlign w:val="center"/>
          </w:tcPr>
          <w:p>
            <w:pPr>
              <w:autoSpaceDE w:val="0"/>
              <w:autoSpaceDN w:val="0"/>
              <w:snapToGrid w:val="0"/>
              <w:jc w:val="center"/>
              <w:rPr>
                <w:rFonts w:ascii="Times New Roman" w:hAnsi="Times New Roman" w:eastAsia="方正仿宋简体" w:cs="Times New Roman"/>
                <w:sz w:val="28"/>
                <w:szCs w:val="28"/>
                <w:lang w:eastAsia="en-US"/>
              </w:rPr>
            </w:pPr>
            <w:r>
              <w:rPr>
                <w:rFonts w:ascii="Times New Roman" w:hAnsi="Times New Roman" w:eastAsia="方正仿宋简体" w:cs="Times New Roman"/>
                <w:color w:val="000000"/>
                <w:sz w:val="28"/>
                <w:szCs w:val="28"/>
                <w:lang w:eastAsia="en-US"/>
              </w:rPr>
              <w:t>6.64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trPr>
        <w:tc>
          <w:tcPr>
            <w:tcW w:w="937" w:type="pct"/>
            <w:tcBorders>
              <w:top w:val="single" w:color="000000" w:sz="6" w:space="0"/>
              <w:bottom w:val="single" w:color="000000" w:sz="6" w:space="0"/>
              <w:right w:val="single" w:color="000000" w:sz="6" w:space="0"/>
            </w:tcBorders>
            <w:vAlign w:val="center"/>
          </w:tcPr>
          <w:p>
            <w:pPr>
              <w:widowControl/>
              <w:autoSpaceDE/>
              <w:autoSpaceDN/>
              <w:snapToGrid w:val="0"/>
              <w:jc w:val="center"/>
              <w:rPr>
                <w:rFonts w:ascii="Times New Roman" w:hAnsi="Times New Roman" w:eastAsia="方正仿宋简体" w:cs="Times New Roman"/>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color w:val="000000" w:themeColor="text1"/>
                <w:kern w:val="0"/>
                <w:sz w:val="28"/>
                <w:szCs w:val="28"/>
                <w:lang w:eastAsia="zh-CN"/>
                <w14:textFill>
                  <w14:solidFill>
                    <w14:schemeClr w14:val="tx1"/>
                  </w14:solidFill>
                </w14:textFill>
              </w:rPr>
              <w:t>规模以下专业户</w:t>
            </w:r>
          </w:p>
        </w:tc>
        <w:tc>
          <w:tcPr>
            <w:tcW w:w="995" w:type="pct"/>
            <w:tcBorders>
              <w:top w:val="single" w:color="000000" w:sz="6" w:space="0"/>
              <w:left w:val="single" w:color="000000" w:sz="6" w:space="0"/>
              <w:bottom w:val="single" w:color="000000" w:sz="6" w:space="0"/>
              <w:right w:val="single" w:color="000000" w:sz="6" w:space="0"/>
            </w:tcBorders>
            <w:vAlign w:val="center"/>
          </w:tcPr>
          <w:p>
            <w:pPr>
              <w:autoSpaceDE w:val="0"/>
              <w:autoSpaceDN w:val="0"/>
              <w:snapToGrid w:val="0"/>
              <w:jc w:val="center"/>
              <w:rPr>
                <w:rFonts w:ascii="Times New Roman" w:hAnsi="Times New Roman" w:eastAsia="方正仿宋简体" w:cs="Times New Roman"/>
                <w:color w:val="000000"/>
                <w:sz w:val="28"/>
                <w:szCs w:val="28"/>
                <w:lang w:eastAsia="en-US"/>
              </w:rPr>
            </w:pPr>
            <w:r>
              <w:rPr>
                <w:rFonts w:ascii="Times New Roman" w:hAnsi="Times New Roman" w:eastAsia="方正仿宋简体" w:cs="Times New Roman"/>
                <w:color w:val="000000"/>
                <w:sz w:val="28"/>
                <w:szCs w:val="28"/>
                <w:lang w:eastAsia="en-US"/>
              </w:rPr>
              <w:t>181.02</w:t>
            </w:r>
          </w:p>
        </w:tc>
        <w:tc>
          <w:tcPr>
            <w:tcW w:w="992" w:type="pct"/>
            <w:tcBorders>
              <w:top w:val="single" w:color="000000" w:sz="6" w:space="0"/>
              <w:left w:val="single" w:color="000000" w:sz="6" w:space="0"/>
              <w:bottom w:val="single" w:color="000000" w:sz="6" w:space="0"/>
              <w:right w:val="single" w:color="000000" w:sz="6" w:space="0"/>
            </w:tcBorders>
            <w:vAlign w:val="center"/>
          </w:tcPr>
          <w:p>
            <w:pPr>
              <w:autoSpaceDE w:val="0"/>
              <w:autoSpaceDN w:val="0"/>
              <w:snapToGrid w:val="0"/>
              <w:jc w:val="center"/>
              <w:rPr>
                <w:rFonts w:ascii="Times New Roman" w:hAnsi="Times New Roman" w:eastAsia="方正仿宋简体" w:cs="Times New Roman"/>
                <w:sz w:val="28"/>
                <w:szCs w:val="28"/>
                <w:lang w:eastAsia="en-US"/>
              </w:rPr>
            </w:pPr>
            <w:r>
              <w:rPr>
                <w:rFonts w:ascii="Times New Roman" w:hAnsi="Times New Roman" w:eastAsia="方正仿宋简体" w:cs="Times New Roman"/>
                <w:color w:val="000000"/>
                <w:sz w:val="28"/>
                <w:szCs w:val="28"/>
                <w:lang w:eastAsia="en-US"/>
              </w:rPr>
              <w:t>9.12</w:t>
            </w:r>
          </w:p>
        </w:tc>
        <w:tc>
          <w:tcPr>
            <w:tcW w:w="1059" w:type="pct"/>
            <w:tcBorders>
              <w:top w:val="single" w:color="000000" w:sz="6" w:space="0"/>
              <w:left w:val="single" w:color="000000" w:sz="6" w:space="0"/>
              <w:bottom w:val="single" w:color="000000" w:sz="6" w:space="0"/>
              <w:right w:val="single" w:color="000000" w:sz="6" w:space="0"/>
            </w:tcBorders>
            <w:vAlign w:val="center"/>
          </w:tcPr>
          <w:p>
            <w:pPr>
              <w:autoSpaceDE w:val="0"/>
              <w:autoSpaceDN w:val="0"/>
              <w:snapToGrid w:val="0"/>
              <w:jc w:val="center"/>
              <w:rPr>
                <w:rFonts w:ascii="Times New Roman" w:hAnsi="Times New Roman" w:eastAsia="方正仿宋简体" w:cs="Times New Roman"/>
                <w:sz w:val="28"/>
                <w:szCs w:val="28"/>
                <w:lang w:eastAsia="en-US"/>
              </w:rPr>
            </w:pPr>
            <w:r>
              <w:rPr>
                <w:rFonts w:ascii="Times New Roman" w:hAnsi="Times New Roman" w:eastAsia="方正仿宋简体" w:cs="Times New Roman"/>
                <w:color w:val="000000"/>
                <w:sz w:val="28"/>
                <w:szCs w:val="28"/>
                <w:lang w:eastAsia="en-US"/>
              </w:rPr>
              <w:t>0.93</w:t>
            </w:r>
          </w:p>
        </w:tc>
        <w:tc>
          <w:tcPr>
            <w:tcW w:w="1017" w:type="pct"/>
            <w:tcBorders>
              <w:top w:val="single" w:color="000000" w:sz="6" w:space="0"/>
              <w:left w:val="single" w:color="000000" w:sz="6" w:space="0"/>
              <w:bottom w:val="single" w:color="000000" w:sz="6" w:space="0"/>
            </w:tcBorders>
            <w:vAlign w:val="center"/>
          </w:tcPr>
          <w:p>
            <w:pPr>
              <w:autoSpaceDE w:val="0"/>
              <w:autoSpaceDN w:val="0"/>
              <w:snapToGrid w:val="0"/>
              <w:jc w:val="center"/>
              <w:rPr>
                <w:rFonts w:ascii="Times New Roman" w:hAnsi="Times New Roman" w:eastAsia="方正仿宋简体" w:cs="Times New Roman"/>
                <w:sz w:val="28"/>
                <w:szCs w:val="28"/>
                <w:lang w:eastAsia="en-US"/>
              </w:rPr>
            </w:pPr>
            <w:r>
              <w:rPr>
                <w:rFonts w:ascii="Times New Roman" w:hAnsi="Times New Roman" w:eastAsia="方正仿宋简体" w:cs="Times New Roman"/>
                <w:color w:val="000000"/>
                <w:sz w:val="28"/>
                <w:szCs w:val="28"/>
                <w:lang w:eastAsia="en-US"/>
              </w:rPr>
              <w:t>2.04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trPr>
        <w:tc>
          <w:tcPr>
            <w:tcW w:w="937" w:type="pct"/>
            <w:tcBorders>
              <w:top w:val="single" w:color="000000" w:sz="6" w:space="0"/>
              <w:bottom w:val="single" w:color="000000" w:sz="6" w:space="0"/>
              <w:right w:val="single" w:color="000000" w:sz="6" w:space="0"/>
            </w:tcBorders>
            <w:vAlign w:val="center"/>
          </w:tcPr>
          <w:p>
            <w:pPr>
              <w:widowControl/>
              <w:autoSpaceDE/>
              <w:autoSpaceDN/>
              <w:snapToGrid w:val="0"/>
              <w:jc w:val="center"/>
              <w:rPr>
                <w:rFonts w:ascii="Times New Roman" w:hAnsi="Times New Roman" w:eastAsia="方正仿宋简体" w:cs="Times New Roman"/>
                <w:color w:val="000000" w:themeColor="text1"/>
                <w:kern w:val="0"/>
                <w:sz w:val="28"/>
                <w:szCs w:val="28"/>
                <w:lang w:eastAsia="zh-CN"/>
                <w14:textFill>
                  <w14:solidFill>
                    <w14:schemeClr w14:val="tx1"/>
                  </w14:solidFill>
                </w14:textFill>
              </w:rPr>
            </w:pPr>
            <w:r>
              <w:rPr>
                <w:rFonts w:ascii="Times New Roman" w:hAnsi="Times New Roman" w:eastAsia="方正仿宋简体" w:cs="Times New Roman"/>
                <w:color w:val="000000" w:themeColor="text1"/>
                <w:kern w:val="0"/>
                <w:sz w:val="28"/>
                <w:szCs w:val="28"/>
                <w:lang w:eastAsia="zh-CN"/>
                <w14:textFill>
                  <w14:solidFill>
                    <w14:schemeClr w14:val="tx1"/>
                  </w14:solidFill>
                </w14:textFill>
              </w:rPr>
              <w:t>合计</w:t>
            </w:r>
          </w:p>
        </w:tc>
        <w:tc>
          <w:tcPr>
            <w:tcW w:w="995" w:type="pct"/>
            <w:tcBorders>
              <w:top w:val="single" w:color="000000" w:sz="6" w:space="0"/>
              <w:left w:val="single" w:color="000000" w:sz="6" w:space="0"/>
              <w:bottom w:val="single" w:color="000000" w:sz="6" w:space="0"/>
              <w:right w:val="single" w:color="000000" w:sz="6" w:space="0"/>
            </w:tcBorders>
            <w:vAlign w:val="center"/>
          </w:tcPr>
          <w:p>
            <w:pPr>
              <w:autoSpaceDE w:val="0"/>
              <w:autoSpaceDN w:val="0"/>
              <w:snapToGrid w:val="0"/>
              <w:jc w:val="center"/>
              <w:rPr>
                <w:rFonts w:ascii="Times New Roman" w:hAnsi="Times New Roman" w:eastAsia="方正仿宋简体" w:cs="Times New Roman"/>
                <w:color w:val="000000"/>
                <w:sz w:val="28"/>
                <w:szCs w:val="28"/>
                <w:lang w:eastAsia="en-US"/>
              </w:rPr>
            </w:pPr>
            <w:r>
              <w:rPr>
                <w:rFonts w:ascii="Times New Roman" w:hAnsi="Times New Roman" w:eastAsia="方正仿宋简体" w:cs="Times New Roman"/>
                <w:color w:val="000000"/>
                <w:sz w:val="28"/>
                <w:szCs w:val="28"/>
                <w:lang w:eastAsia="en-US"/>
              </w:rPr>
              <w:t>750</w:t>
            </w:r>
          </w:p>
        </w:tc>
        <w:tc>
          <w:tcPr>
            <w:tcW w:w="992" w:type="pct"/>
            <w:tcBorders>
              <w:top w:val="single" w:color="000000" w:sz="6" w:space="0"/>
              <w:left w:val="single" w:color="000000" w:sz="6" w:space="0"/>
              <w:bottom w:val="single" w:color="000000" w:sz="6" w:space="0"/>
              <w:right w:val="single" w:color="000000" w:sz="6" w:space="0"/>
            </w:tcBorders>
            <w:vAlign w:val="center"/>
          </w:tcPr>
          <w:p>
            <w:pPr>
              <w:autoSpaceDE w:val="0"/>
              <w:autoSpaceDN w:val="0"/>
              <w:snapToGrid w:val="0"/>
              <w:jc w:val="center"/>
              <w:rPr>
                <w:rFonts w:ascii="Times New Roman" w:hAnsi="Times New Roman" w:eastAsia="方正仿宋简体" w:cs="Times New Roman"/>
                <w:color w:val="000000"/>
                <w:sz w:val="28"/>
                <w:szCs w:val="28"/>
                <w:lang w:eastAsia="en-US"/>
              </w:rPr>
            </w:pPr>
            <w:r>
              <w:rPr>
                <w:rFonts w:ascii="Times New Roman" w:hAnsi="Times New Roman" w:eastAsia="方正仿宋简体" w:cs="Times New Roman"/>
                <w:color w:val="000000"/>
                <w:sz w:val="28"/>
                <w:szCs w:val="28"/>
                <w:lang w:eastAsia="en-US"/>
              </w:rPr>
              <w:t>62.05</w:t>
            </w:r>
          </w:p>
        </w:tc>
        <w:tc>
          <w:tcPr>
            <w:tcW w:w="1059" w:type="pct"/>
            <w:tcBorders>
              <w:top w:val="single" w:color="000000" w:sz="6" w:space="0"/>
              <w:left w:val="single" w:color="000000" w:sz="6" w:space="0"/>
              <w:bottom w:val="single" w:color="000000" w:sz="6" w:space="0"/>
              <w:right w:val="single" w:color="000000" w:sz="6" w:space="0"/>
            </w:tcBorders>
            <w:vAlign w:val="center"/>
          </w:tcPr>
          <w:p>
            <w:pPr>
              <w:autoSpaceDE w:val="0"/>
              <w:autoSpaceDN w:val="0"/>
              <w:snapToGrid w:val="0"/>
              <w:jc w:val="center"/>
              <w:rPr>
                <w:rFonts w:ascii="Times New Roman" w:hAnsi="Times New Roman" w:eastAsia="方正仿宋简体" w:cs="Times New Roman"/>
                <w:color w:val="000000"/>
                <w:sz w:val="28"/>
                <w:szCs w:val="28"/>
                <w:lang w:eastAsia="en-US"/>
              </w:rPr>
            </w:pPr>
            <w:r>
              <w:rPr>
                <w:rFonts w:ascii="Times New Roman" w:hAnsi="Times New Roman" w:eastAsia="方正仿宋简体" w:cs="Times New Roman"/>
                <w:color w:val="000000"/>
                <w:sz w:val="28"/>
                <w:szCs w:val="28"/>
                <w:lang w:eastAsia="en-US"/>
              </w:rPr>
              <w:t>11.32</w:t>
            </w:r>
          </w:p>
        </w:tc>
        <w:tc>
          <w:tcPr>
            <w:tcW w:w="1017" w:type="pct"/>
            <w:tcBorders>
              <w:top w:val="single" w:color="000000" w:sz="6" w:space="0"/>
              <w:left w:val="single" w:color="000000" w:sz="6" w:space="0"/>
              <w:bottom w:val="single" w:color="000000" w:sz="6" w:space="0"/>
            </w:tcBorders>
            <w:vAlign w:val="center"/>
          </w:tcPr>
          <w:p>
            <w:pPr>
              <w:autoSpaceDE w:val="0"/>
              <w:autoSpaceDN w:val="0"/>
              <w:snapToGrid w:val="0"/>
              <w:jc w:val="center"/>
              <w:rPr>
                <w:rFonts w:ascii="Times New Roman" w:hAnsi="Times New Roman" w:eastAsia="方正仿宋简体" w:cs="Times New Roman"/>
                <w:color w:val="000000"/>
                <w:sz w:val="28"/>
                <w:szCs w:val="28"/>
                <w:lang w:eastAsia="en-US"/>
              </w:rPr>
            </w:pPr>
            <w:r>
              <w:rPr>
                <w:rFonts w:ascii="Times New Roman" w:hAnsi="Times New Roman" w:eastAsia="方正仿宋简体" w:cs="Times New Roman"/>
                <w:color w:val="000000"/>
                <w:sz w:val="28"/>
                <w:szCs w:val="28"/>
                <w:lang w:eastAsia="en-US"/>
              </w:rPr>
              <w:t>8.68</w:t>
            </w:r>
          </w:p>
        </w:tc>
      </w:tr>
    </w:tbl>
    <w:p>
      <w:pPr>
        <w:adjustRightInd w:val="0"/>
        <w:snapToGrid w:val="0"/>
        <w:spacing w:line="360" w:lineRule="auto"/>
        <w:jc w:val="center"/>
        <w:rPr>
          <w:rFonts w:ascii="Times New Roman" w:hAnsi="Times New Roman" w:eastAsia="方正仿宋简体"/>
          <w:color w:val="000000" w:themeColor="text1"/>
          <w:sz w:val="32"/>
          <w:szCs w:val="32"/>
          <w14:textFill>
            <w14:solidFill>
              <w14:schemeClr w14:val="tx1"/>
            </w14:solidFill>
          </w14:textFill>
        </w:rPr>
      </w:pPr>
    </w:p>
    <w:p>
      <w:pPr>
        <w:adjustRightInd w:val="0"/>
        <w:snapToGrid w:val="0"/>
        <w:spacing w:line="360" w:lineRule="auto"/>
        <w:jc w:val="center"/>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sz w:val="32"/>
          <w:szCs w:val="32"/>
        </w:rPr>
        <w:drawing>
          <wp:inline distT="0" distB="0" distL="0" distR="0">
            <wp:extent cx="4572000" cy="2743200"/>
            <wp:effectExtent l="0" t="0" r="19050" b="1905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tabs>
          <w:tab w:val="left" w:pos="1399"/>
        </w:tabs>
        <w:adjustRightInd w:val="0"/>
        <w:snapToGrid w:val="0"/>
        <w:spacing w:line="360" w:lineRule="auto"/>
        <w:jc w:val="center"/>
        <w:rPr>
          <w:rFonts w:ascii="Times New Roman" w:hAnsi="Times New Roman" w:eastAsia="方正仿宋简体"/>
          <w:b/>
          <w:snapToGrid w:val="0"/>
          <w:sz w:val="32"/>
          <w:szCs w:val="32"/>
        </w:rPr>
      </w:pPr>
      <w:r>
        <w:rPr>
          <w:rFonts w:ascii="Times New Roman" w:hAnsi="Times New Roman" w:eastAsia="方正仿宋简体"/>
          <w:b/>
          <w:bCs/>
          <w:sz w:val="32"/>
          <w:szCs w:val="32"/>
        </w:rPr>
        <w:t>图2.4-9</w:t>
      </w:r>
      <w:r>
        <w:rPr>
          <w:rFonts w:ascii="Times New Roman" w:hAnsi="Times New Roman" w:eastAsia="方正仿宋简体"/>
          <w:b/>
          <w:snapToGrid w:val="0"/>
          <w:sz w:val="32"/>
          <w:szCs w:val="32"/>
        </w:rPr>
        <w:t>全区畜禽养殖污染物排放情况</w:t>
      </w:r>
      <w:r>
        <w:rPr>
          <w:rFonts w:ascii="Times New Roman" w:hAnsi="Times New Roman" w:eastAsia="方正仿宋简体"/>
          <w:b/>
          <w:bCs/>
          <w:sz w:val="32"/>
          <w:szCs w:val="32"/>
        </w:rPr>
        <w:t>图</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经计算，2020年济宁太白湖新区畜禽养殖COD、TN、NH3-N、TP产生量分别为：9646.33t/a、471.81t/a、74.51t/a、97.62t/a；COD、TN、NH3-N、TP排放量分别为：750t/a、62.05t/a、11.32t/a、8.68t/a。济宁太白湖新区各镇街畜禽养殖粪污产生及污染物排放情况见表2.4-12~14。</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从养殖类型的污染物排放情况看，化学需氧量产生量最高的为奶牛养殖业，总氮、氨氮产生量最高的为生猪养殖业，总磷产生量最高的为蛋禽养殖业。</w:t>
      </w:r>
    </w:p>
    <w:p>
      <w:pPr>
        <w:tabs>
          <w:tab w:val="left" w:pos="1399"/>
        </w:tabs>
        <w:spacing w:line="560" w:lineRule="exact"/>
        <w:ind w:right="27"/>
        <w:jc w:val="center"/>
        <w:rPr>
          <w:rFonts w:ascii="Times New Roman" w:hAnsi="Times New Roman" w:eastAsia="方正仿宋简体"/>
          <w:b/>
          <w:snapToGrid w:val="0"/>
          <w:sz w:val="32"/>
          <w:szCs w:val="32"/>
        </w:rPr>
      </w:pPr>
      <w:r>
        <w:rPr>
          <w:rFonts w:ascii="Times New Roman" w:hAnsi="Times New Roman" w:eastAsia="方正仿宋简体"/>
          <w:b/>
          <w:snapToGrid w:val="0"/>
          <w:sz w:val="32"/>
          <w:szCs w:val="32"/>
        </w:rPr>
        <w:t>表2.4-14济宁太白湖新区镇街畜禽养殖粪污产生及污染物排放表</w:t>
      </w:r>
    </w:p>
    <w:tbl>
      <w:tblPr>
        <w:tblStyle w:val="27"/>
        <w:tblW w:w="52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256"/>
        <w:gridCol w:w="1237"/>
        <w:gridCol w:w="991"/>
        <w:gridCol w:w="851"/>
        <w:gridCol w:w="850"/>
        <w:gridCol w:w="851"/>
        <w:gridCol w:w="850"/>
        <w:gridCol w:w="1112"/>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88" w:type="pct"/>
            <w:vMerge w:val="restart"/>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序号</w:t>
            </w:r>
          </w:p>
        </w:tc>
        <w:tc>
          <w:tcPr>
            <w:tcW w:w="665" w:type="pct"/>
            <w:vMerge w:val="restart"/>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镇街名称</w:t>
            </w:r>
          </w:p>
        </w:tc>
        <w:tc>
          <w:tcPr>
            <w:tcW w:w="2081" w:type="pct"/>
            <w:gridSpan w:val="4"/>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产生量（t/a）</w:t>
            </w:r>
          </w:p>
        </w:tc>
        <w:tc>
          <w:tcPr>
            <w:tcW w:w="1866" w:type="pct"/>
            <w:gridSpan w:val="4"/>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88" w:type="pct"/>
            <w:vMerge w:val="continue"/>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p>
        </w:tc>
        <w:tc>
          <w:tcPr>
            <w:tcW w:w="665" w:type="pct"/>
            <w:vMerge w:val="continue"/>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p>
        </w:tc>
        <w:tc>
          <w:tcPr>
            <w:tcW w:w="655" w:type="pct"/>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COD</w:t>
            </w:r>
          </w:p>
        </w:tc>
        <w:tc>
          <w:tcPr>
            <w:tcW w:w="525" w:type="pct"/>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TN</w:t>
            </w:r>
          </w:p>
        </w:tc>
        <w:tc>
          <w:tcPr>
            <w:tcW w:w="451" w:type="pct"/>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NH</w:t>
            </w:r>
            <w:r>
              <w:rPr>
                <w:rFonts w:ascii="Times New Roman" w:hAnsi="Times New Roman" w:eastAsia="方正仿宋简体"/>
                <w:b/>
                <w:color w:val="000000" w:themeColor="text1"/>
                <w:kern w:val="0"/>
                <w:sz w:val="28"/>
                <w:szCs w:val="28"/>
                <w:vertAlign w:val="subscript"/>
                <w14:textFill>
                  <w14:solidFill>
                    <w14:schemeClr w14:val="tx1"/>
                  </w14:solidFill>
                </w14:textFill>
              </w:rPr>
              <w:t>3</w:t>
            </w:r>
            <w:r>
              <w:rPr>
                <w:rFonts w:ascii="Times New Roman" w:hAnsi="Times New Roman" w:eastAsia="方正仿宋简体"/>
                <w:b/>
                <w:color w:val="000000" w:themeColor="text1"/>
                <w:kern w:val="0"/>
                <w:sz w:val="28"/>
                <w:szCs w:val="28"/>
                <w14:textFill>
                  <w14:solidFill>
                    <w14:schemeClr w14:val="tx1"/>
                  </w14:solidFill>
                </w14:textFill>
              </w:rPr>
              <w:t>-N</w:t>
            </w:r>
          </w:p>
        </w:tc>
        <w:tc>
          <w:tcPr>
            <w:tcW w:w="450" w:type="pct"/>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TP</w:t>
            </w:r>
          </w:p>
        </w:tc>
        <w:tc>
          <w:tcPr>
            <w:tcW w:w="451" w:type="pct"/>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COD</w:t>
            </w:r>
          </w:p>
        </w:tc>
        <w:tc>
          <w:tcPr>
            <w:tcW w:w="450" w:type="pct"/>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TN</w:t>
            </w:r>
          </w:p>
        </w:tc>
        <w:tc>
          <w:tcPr>
            <w:tcW w:w="589" w:type="pct"/>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NH</w:t>
            </w:r>
            <w:r>
              <w:rPr>
                <w:rFonts w:ascii="Times New Roman" w:hAnsi="Times New Roman" w:eastAsia="方正仿宋简体"/>
                <w:b/>
                <w:color w:val="000000" w:themeColor="text1"/>
                <w:kern w:val="0"/>
                <w:sz w:val="28"/>
                <w:szCs w:val="28"/>
                <w:vertAlign w:val="subscript"/>
                <w14:textFill>
                  <w14:solidFill>
                    <w14:schemeClr w14:val="tx1"/>
                  </w14:solidFill>
                </w14:textFill>
              </w:rPr>
              <w:t>3</w:t>
            </w:r>
            <w:r>
              <w:rPr>
                <w:rFonts w:ascii="Times New Roman" w:hAnsi="Times New Roman" w:eastAsia="方正仿宋简体"/>
                <w:b/>
                <w:color w:val="000000" w:themeColor="text1"/>
                <w:kern w:val="0"/>
                <w:sz w:val="28"/>
                <w:szCs w:val="28"/>
                <w14:textFill>
                  <w14:solidFill>
                    <w14:schemeClr w14:val="tx1"/>
                  </w14:solidFill>
                </w14:textFill>
              </w:rPr>
              <w:t>-N</w:t>
            </w:r>
          </w:p>
        </w:tc>
        <w:tc>
          <w:tcPr>
            <w:tcW w:w="376" w:type="pct"/>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8" w:type="pct"/>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w:t>
            </w:r>
          </w:p>
        </w:tc>
        <w:tc>
          <w:tcPr>
            <w:tcW w:w="665" w:type="pct"/>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许庄</w:t>
            </w:r>
          </w:p>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街道</w:t>
            </w:r>
          </w:p>
        </w:tc>
        <w:tc>
          <w:tcPr>
            <w:tcW w:w="655" w:type="pct"/>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0</w:t>
            </w:r>
          </w:p>
        </w:tc>
        <w:tc>
          <w:tcPr>
            <w:tcW w:w="525" w:type="pct"/>
            <w:shd w:val="clear" w:color="auto" w:fill="auto"/>
            <w:noWrap/>
            <w:vAlign w:val="center"/>
          </w:tcPr>
          <w:p>
            <w:pPr>
              <w:snapToGrid w:val="0"/>
              <w:jc w:val="center"/>
              <w:rPr>
                <w:rFonts w:ascii="Times New Roman" w:hAnsi="Times New Roman" w:eastAsia="方正仿宋简体"/>
                <w:sz w:val="28"/>
                <w:szCs w:val="28"/>
              </w:rPr>
            </w:pPr>
            <w:r>
              <w:rPr>
                <w:rFonts w:ascii="Times New Roman" w:hAnsi="Times New Roman" w:eastAsia="方正仿宋简体"/>
                <w:color w:val="000000" w:themeColor="text1"/>
                <w:kern w:val="0"/>
                <w:sz w:val="28"/>
                <w:szCs w:val="28"/>
                <w14:textFill>
                  <w14:solidFill>
                    <w14:schemeClr w14:val="tx1"/>
                  </w14:solidFill>
                </w14:textFill>
              </w:rPr>
              <w:t>0</w:t>
            </w:r>
          </w:p>
        </w:tc>
        <w:tc>
          <w:tcPr>
            <w:tcW w:w="451" w:type="pct"/>
            <w:shd w:val="clear" w:color="auto" w:fill="auto"/>
            <w:noWrap/>
            <w:vAlign w:val="center"/>
          </w:tcPr>
          <w:p>
            <w:pPr>
              <w:snapToGrid w:val="0"/>
              <w:jc w:val="center"/>
              <w:rPr>
                <w:rFonts w:ascii="Times New Roman" w:hAnsi="Times New Roman" w:eastAsia="方正仿宋简体"/>
                <w:sz w:val="28"/>
                <w:szCs w:val="28"/>
              </w:rPr>
            </w:pPr>
            <w:r>
              <w:rPr>
                <w:rFonts w:ascii="Times New Roman" w:hAnsi="Times New Roman" w:eastAsia="方正仿宋简体"/>
                <w:color w:val="000000" w:themeColor="text1"/>
                <w:kern w:val="0"/>
                <w:sz w:val="28"/>
                <w:szCs w:val="28"/>
                <w14:textFill>
                  <w14:solidFill>
                    <w14:schemeClr w14:val="tx1"/>
                  </w14:solidFill>
                </w14:textFill>
              </w:rPr>
              <w:t>0</w:t>
            </w:r>
          </w:p>
        </w:tc>
        <w:tc>
          <w:tcPr>
            <w:tcW w:w="450" w:type="pct"/>
            <w:shd w:val="clear" w:color="auto" w:fill="auto"/>
            <w:noWrap/>
            <w:vAlign w:val="center"/>
          </w:tcPr>
          <w:p>
            <w:pPr>
              <w:snapToGrid w:val="0"/>
              <w:jc w:val="center"/>
              <w:rPr>
                <w:rFonts w:ascii="Times New Roman" w:hAnsi="Times New Roman" w:eastAsia="方正仿宋简体"/>
                <w:sz w:val="28"/>
                <w:szCs w:val="28"/>
              </w:rPr>
            </w:pPr>
            <w:r>
              <w:rPr>
                <w:rFonts w:ascii="Times New Roman" w:hAnsi="Times New Roman" w:eastAsia="方正仿宋简体"/>
                <w:color w:val="000000" w:themeColor="text1"/>
                <w:kern w:val="0"/>
                <w:sz w:val="28"/>
                <w:szCs w:val="28"/>
                <w14:textFill>
                  <w14:solidFill>
                    <w14:schemeClr w14:val="tx1"/>
                  </w14:solidFill>
                </w14:textFill>
              </w:rPr>
              <w:t>0</w:t>
            </w:r>
          </w:p>
        </w:tc>
        <w:tc>
          <w:tcPr>
            <w:tcW w:w="451" w:type="pct"/>
            <w:shd w:val="clear" w:color="auto" w:fill="auto"/>
            <w:noWrap/>
            <w:vAlign w:val="center"/>
          </w:tcPr>
          <w:p>
            <w:pPr>
              <w:snapToGrid w:val="0"/>
              <w:jc w:val="center"/>
              <w:rPr>
                <w:rFonts w:ascii="Times New Roman" w:hAnsi="Times New Roman" w:eastAsia="方正仿宋简体"/>
                <w:sz w:val="28"/>
                <w:szCs w:val="28"/>
              </w:rPr>
            </w:pPr>
            <w:r>
              <w:rPr>
                <w:rFonts w:ascii="Times New Roman" w:hAnsi="Times New Roman" w:eastAsia="方正仿宋简体"/>
                <w:color w:val="000000" w:themeColor="text1"/>
                <w:kern w:val="0"/>
                <w:sz w:val="28"/>
                <w:szCs w:val="28"/>
                <w14:textFill>
                  <w14:solidFill>
                    <w14:schemeClr w14:val="tx1"/>
                  </w14:solidFill>
                </w14:textFill>
              </w:rPr>
              <w:t>0</w:t>
            </w:r>
          </w:p>
        </w:tc>
        <w:tc>
          <w:tcPr>
            <w:tcW w:w="450" w:type="pct"/>
            <w:shd w:val="clear" w:color="auto" w:fill="auto"/>
            <w:noWrap/>
            <w:vAlign w:val="center"/>
          </w:tcPr>
          <w:p>
            <w:pPr>
              <w:snapToGrid w:val="0"/>
              <w:jc w:val="center"/>
              <w:rPr>
                <w:rFonts w:ascii="Times New Roman" w:hAnsi="Times New Roman" w:eastAsia="方正仿宋简体"/>
                <w:sz w:val="28"/>
                <w:szCs w:val="28"/>
              </w:rPr>
            </w:pPr>
            <w:r>
              <w:rPr>
                <w:rFonts w:ascii="Times New Roman" w:hAnsi="Times New Roman" w:eastAsia="方正仿宋简体"/>
                <w:color w:val="000000" w:themeColor="text1"/>
                <w:kern w:val="0"/>
                <w:sz w:val="28"/>
                <w:szCs w:val="28"/>
                <w14:textFill>
                  <w14:solidFill>
                    <w14:schemeClr w14:val="tx1"/>
                  </w14:solidFill>
                </w14:textFill>
              </w:rPr>
              <w:t>0</w:t>
            </w:r>
          </w:p>
        </w:tc>
        <w:tc>
          <w:tcPr>
            <w:tcW w:w="589" w:type="pct"/>
            <w:shd w:val="clear" w:color="auto" w:fill="auto"/>
            <w:noWrap/>
            <w:vAlign w:val="center"/>
          </w:tcPr>
          <w:p>
            <w:pPr>
              <w:snapToGrid w:val="0"/>
              <w:jc w:val="center"/>
              <w:rPr>
                <w:rFonts w:ascii="Times New Roman" w:hAnsi="Times New Roman" w:eastAsia="方正仿宋简体"/>
                <w:sz w:val="28"/>
                <w:szCs w:val="28"/>
              </w:rPr>
            </w:pPr>
            <w:r>
              <w:rPr>
                <w:rFonts w:ascii="Times New Roman" w:hAnsi="Times New Roman" w:eastAsia="方正仿宋简体"/>
                <w:color w:val="000000" w:themeColor="text1"/>
                <w:kern w:val="0"/>
                <w:sz w:val="28"/>
                <w:szCs w:val="28"/>
                <w14:textFill>
                  <w14:solidFill>
                    <w14:schemeClr w14:val="tx1"/>
                  </w14:solidFill>
                </w14:textFill>
              </w:rPr>
              <w:t>0</w:t>
            </w:r>
          </w:p>
        </w:tc>
        <w:tc>
          <w:tcPr>
            <w:tcW w:w="376" w:type="pct"/>
            <w:shd w:val="clear" w:color="auto" w:fill="auto"/>
            <w:noWrap/>
            <w:vAlign w:val="center"/>
          </w:tcPr>
          <w:p>
            <w:pPr>
              <w:snapToGrid w:val="0"/>
              <w:jc w:val="center"/>
              <w:rPr>
                <w:rFonts w:ascii="Times New Roman" w:hAnsi="Times New Roman" w:eastAsia="方正仿宋简体"/>
                <w:sz w:val="28"/>
                <w:szCs w:val="28"/>
              </w:rPr>
            </w:pPr>
            <w:r>
              <w:rPr>
                <w:rFonts w:ascii="Times New Roman" w:hAnsi="Times New Roman" w:eastAsia="方正仿宋简体"/>
                <w:color w:val="000000" w:themeColor="text1"/>
                <w:kern w:val="0"/>
                <w:sz w:val="28"/>
                <w:szCs w:val="28"/>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8" w:type="pct"/>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w:t>
            </w:r>
          </w:p>
        </w:tc>
        <w:tc>
          <w:tcPr>
            <w:tcW w:w="665" w:type="pct"/>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石桥镇</w:t>
            </w:r>
          </w:p>
        </w:tc>
        <w:tc>
          <w:tcPr>
            <w:tcW w:w="655" w:type="pct"/>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9646.33</w:t>
            </w:r>
          </w:p>
        </w:tc>
        <w:tc>
          <w:tcPr>
            <w:tcW w:w="525" w:type="pct"/>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471.81</w:t>
            </w:r>
          </w:p>
        </w:tc>
        <w:tc>
          <w:tcPr>
            <w:tcW w:w="451" w:type="pct"/>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74.51</w:t>
            </w:r>
          </w:p>
        </w:tc>
        <w:tc>
          <w:tcPr>
            <w:tcW w:w="450" w:type="pct"/>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97.62</w:t>
            </w:r>
          </w:p>
        </w:tc>
        <w:tc>
          <w:tcPr>
            <w:tcW w:w="451" w:type="pct"/>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750</w:t>
            </w:r>
          </w:p>
        </w:tc>
        <w:tc>
          <w:tcPr>
            <w:tcW w:w="450" w:type="pct"/>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62.05</w:t>
            </w:r>
          </w:p>
        </w:tc>
        <w:tc>
          <w:tcPr>
            <w:tcW w:w="589" w:type="pct"/>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11.32</w:t>
            </w:r>
          </w:p>
        </w:tc>
        <w:tc>
          <w:tcPr>
            <w:tcW w:w="376" w:type="pct"/>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3" w:type="pct"/>
            <w:gridSpan w:val="2"/>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合计</w:t>
            </w:r>
          </w:p>
        </w:tc>
        <w:tc>
          <w:tcPr>
            <w:tcW w:w="655" w:type="pct"/>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9646.33</w:t>
            </w:r>
          </w:p>
        </w:tc>
        <w:tc>
          <w:tcPr>
            <w:tcW w:w="525" w:type="pct"/>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471.81</w:t>
            </w:r>
          </w:p>
        </w:tc>
        <w:tc>
          <w:tcPr>
            <w:tcW w:w="451" w:type="pct"/>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74.51</w:t>
            </w:r>
          </w:p>
        </w:tc>
        <w:tc>
          <w:tcPr>
            <w:tcW w:w="450" w:type="pct"/>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97.62</w:t>
            </w:r>
          </w:p>
        </w:tc>
        <w:tc>
          <w:tcPr>
            <w:tcW w:w="451" w:type="pct"/>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750</w:t>
            </w:r>
          </w:p>
        </w:tc>
        <w:tc>
          <w:tcPr>
            <w:tcW w:w="450" w:type="pct"/>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62.05</w:t>
            </w:r>
          </w:p>
        </w:tc>
        <w:tc>
          <w:tcPr>
            <w:tcW w:w="589" w:type="pct"/>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11.32</w:t>
            </w:r>
          </w:p>
        </w:tc>
        <w:tc>
          <w:tcPr>
            <w:tcW w:w="376" w:type="pct"/>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8.68</w:t>
            </w:r>
          </w:p>
        </w:tc>
      </w:tr>
    </w:tbl>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190" w:name="_Toc119843225"/>
      <w:bookmarkStart w:id="191" w:name="_Toc119856292"/>
      <w:bookmarkStart w:id="192" w:name="_Toc119856680"/>
      <w:bookmarkStart w:id="193" w:name="_Toc138888973"/>
      <w:bookmarkStart w:id="194" w:name="_Toc119835902"/>
      <w:bookmarkStart w:id="195" w:name="_Toc119849220"/>
      <w:r>
        <w:rPr>
          <w:rFonts w:ascii="Times New Roman" w:hAnsi="Times New Roman" w:eastAsia="方正仿宋简体"/>
          <w:color w:val="000000" w:themeColor="text1"/>
          <w14:textFill>
            <w14:solidFill>
              <w14:schemeClr w14:val="tx1"/>
            </w14:solidFill>
          </w14:textFill>
        </w:rPr>
        <w:t>2.4.3种养结合现状</w:t>
      </w:r>
      <w:bookmarkEnd w:id="190"/>
      <w:bookmarkEnd w:id="191"/>
      <w:bookmarkEnd w:id="192"/>
      <w:bookmarkEnd w:id="193"/>
      <w:bookmarkEnd w:id="194"/>
      <w:bookmarkEnd w:id="195"/>
    </w:p>
    <w:p>
      <w:pPr>
        <w:pStyle w:val="5"/>
        <w:spacing w:before="0" w:after="0" w:line="560" w:lineRule="exact"/>
        <w:jc w:val="left"/>
        <w:rPr>
          <w:rFonts w:ascii="Times New Roman" w:hAnsi="Times New Roman" w:eastAsia="方正仿宋简体"/>
          <w:b w:val="0"/>
          <w:bCs w:val="0"/>
          <w:color w:val="000000" w:themeColor="text1"/>
          <w:sz w:val="32"/>
          <w:szCs w:val="32"/>
          <w14:textFill>
            <w14:solidFill>
              <w14:schemeClr w14:val="tx1"/>
            </w14:solidFill>
          </w14:textFill>
        </w:rPr>
      </w:pPr>
      <w:r>
        <w:rPr>
          <w:rFonts w:ascii="Times New Roman" w:hAnsi="Times New Roman" w:eastAsia="方正仿宋简体"/>
          <w:b w:val="0"/>
          <w:bCs w:val="0"/>
          <w:color w:val="000000" w:themeColor="text1"/>
          <w:sz w:val="32"/>
          <w:szCs w:val="32"/>
          <w14:textFill>
            <w14:solidFill>
              <w14:schemeClr w14:val="tx1"/>
            </w14:solidFill>
          </w14:textFill>
        </w:rPr>
        <w:t>2.4.3.1耕地质量现状</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根据济宁太白湖新区自然资源局提供的数据，济宁太白湖新区第三次全国国土调查结果显示，</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一、耕地3540.94公顷。其中，水田</w:t>
      </w:r>
      <w:r>
        <w:rPr>
          <w:rFonts w:ascii="Times New Roman" w:hAnsi="Times New Roman" w:eastAsia="方正仿宋简体"/>
          <w:color w:val="000000" w:themeColor="text1"/>
          <w:kern w:val="0"/>
          <w:sz w:val="32"/>
          <w:szCs w:val="32"/>
          <w14:textFill>
            <w14:solidFill>
              <w14:schemeClr w14:val="tx1"/>
            </w14:solidFill>
          </w14:textFill>
        </w:rPr>
        <w:t>13.58</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0.11%</w:t>
      </w:r>
      <w:r>
        <w:rPr>
          <w:rFonts w:ascii="Times New Roman" w:hAnsi="Times New Roman" w:eastAsia="方正仿宋简体"/>
          <w:color w:val="000000" w:themeColor="text1"/>
          <w:sz w:val="32"/>
          <w:szCs w:val="32"/>
          <w14:textFill>
            <w14:solidFill>
              <w14:schemeClr w14:val="tx1"/>
            </w14:solidFill>
          </w14:textFill>
        </w:rPr>
        <w:t>；水浇地</w:t>
      </w:r>
      <w:r>
        <w:rPr>
          <w:rFonts w:ascii="Times New Roman" w:hAnsi="Times New Roman" w:eastAsia="方正仿宋简体"/>
          <w:color w:val="000000" w:themeColor="text1"/>
          <w:kern w:val="0"/>
          <w:sz w:val="32"/>
          <w:szCs w:val="32"/>
          <w14:textFill>
            <w14:solidFill>
              <w14:schemeClr w14:val="tx1"/>
            </w14:solidFill>
          </w14:textFill>
        </w:rPr>
        <w:t>3165.58</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24.61%</w:t>
      </w:r>
      <w:r>
        <w:rPr>
          <w:rFonts w:ascii="Times New Roman" w:hAnsi="Times New Roman" w:eastAsia="方正仿宋简体"/>
          <w:color w:val="000000" w:themeColor="text1"/>
          <w:sz w:val="32"/>
          <w:szCs w:val="32"/>
          <w14:textFill>
            <w14:solidFill>
              <w14:schemeClr w14:val="tx1"/>
            </w14:solidFill>
          </w14:textFill>
        </w:rPr>
        <w:t>；旱地</w:t>
      </w:r>
      <w:r>
        <w:rPr>
          <w:rFonts w:ascii="Times New Roman" w:hAnsi="Times New Roman" w:eastAsia="方正仿宋简体"/>
          <w:color w:val="000000" w:themeColor="text1"/>
          <w:kern w:val="0"/>
          <w:sz w:val="32"/>
          <w:szCs w:val="32"/>
          <w14:textFill>
            <w14:solidFill>
              <w14:schemeClr w14:val="tx1"/>
            </w14:solidFill>
          </w14:textFill>
        </w:rPr>
        <w:t>361.78</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2.81%</w:t>
      </w:r>
      <w:r>
        <w:rPr>
          <w:rFonts w:ascii="Times New Roman" w:hAnsi="Times New Roman" w:eastAsia="方正仿宋简体"/>
          <w:color w:val="000000" w:themeColor="text1"/>
          <w:sz w:val="32"/>
          <w:szCs w:val="32"/>
          <w14:textFill>
            <w14:solidFill>
              <w14:schemeClr w14:val="tx1"/>
            </w14:solidFill>
          </w14:textFill>
        </w:rPr>
        <w:t>。</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二、种植园地</w:t>
      </w:r>
      <w:r>
        <w:rPr>
          <w:rFonts w:ascii="Times New Roman" w:hAnsi="Times New Roman" w:eastAsia="方正仿宋简体"/>
          <w:color w:val="000000"/>
          <w:sz w:val="32"/>
          <w:szCs w:val="32"/>
        </w:rPr>
        <w:t>235.31</w:t>
      </w:r>
      <w:r>
        <w:rPr>
          <w:rFonts w:ascii="Times New Roman" w:hAnsi="Times New Roman" w:eastAsia="方正仿宋简体"/>
          <w:color w:val="000000" w:themeColor="text1"/>
          <w:sz w:val="32"/>
          <w:szCs w:val="32"/>
          <w14:textFill>
            <w14:solidFill>
              <w14:schemeClr w14:val="tx1"/>
            </w14:solidFill>
          </w14:textFill>
        </w:rPr>
        <w:t>公顷。其中，果园</w:t>
      </w:r>
      <w:r>
        <w:rPr>
          <w:rFonts w:ascii="Times New Roman" w:hAnsi="Times New Roman" w:eastAsia="方正仿宋简体"/>
          <w:color w:val="000000" w:themeColor="text1"/>
          <w:kern w:val="0"/>
          <w:sz w:val="32"/>
          <w:szCs w:val="32"/>
          <w14:textFill>
            <w14:solidFill>
              <w14:schemeClr w14:val="tx1"/>
            </w14:solidFill>
          </w14:textFill>
        </w:rPr>
        <w:t>213.01</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themeColor="text1"/>
          <w:kern w:val="0"/>
          <w:sz w:val="32"/>
          <w:szCs w:val="32"/>
          <w14:textFill>
            <w14:solidFill>
              <w14:schemeClr w14:val="tx1"/>
            </w14:solidFill>
          </w14:textFill>
        </w:rPr>
        <w:t>1.66%</w:t>
      </w:r>
      <w:r>
        <w:rPr>
          <w:rFonts w:ascii="Times New Roman" w:hAnsi="Times New Roman" w:eastAsia="方正仿宋简体"/>
          <w:color w:val="000000" w:themeColor="text1"/>
          <w:sz w:val="32"/>
          <w:szCs w:val="32"/>
          <w14:textFill>
            <w14:solidFill>
              <w14:schemeClr w14:val="tx1"/>
            </w14:solidFill>
          </w14:textFill>
        </w:rPr>
        <w:t>；其他园地</w:t>
      </w:r>
      <w:r>
        <w:rPr>
          <w:rFonts w:ascii="Times New Roman" w:hAnsi="Times New Roman" w:eastAsia="方正仿宋简体"/>
          <w:color w:val="000000" w:themeColor="text1"/>
          <w:kern w:val="0"/>
          <w:sz w:val="32"/>
          <w:szCs w:val="32"/>
          <w14:textFill>
            <w14:solidFill>
              <w14:schemeClr w14:val="tx1"/>
            </w14:solidFill>
          </w14:textFill>
        </w:rPr>
        <w:t>22.30</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0.17%</w:t>
      </w:r>
      <w:r>
        <w:rPr>
          <w:rFonts w:ascii="Times New Roman" w:hAnsi="Times New Roman" w:eastAsia="方正仿宋简体"/>
          <w:color w:val="000000" w:themeColor="text1"/>
          <w:sz w:val="32"/>
          <w:szCs w:val="32"/>
          <w14:textFill>
            <w14:solidFill>
              <w14:schemeClr w14:val="tx1"/>
            </w14:solidFill>
          </w14:textFill>
        </w:rPr>
        <w:t>。</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三、林地</w:t>
      </w:r>
      <w:r>
        <w:rPr>
          <w:rFonts w:ascii="Times New Roman" w:hAnsi="Times New Roman" w:eastAsia="方正仿宋简体"/>
          <w:color w:val="000000"/>
          <w:sz w:val="32"/>
          <w:szCs w:val="32"/>
        </w:rPr>
        <w:t>1308.17</w:t>
      </w:r>
      <w:r>
        <w:rPr>
          <w:rFonts w:ascii="Times New Roman" w:hAnsi="Times New Roman" w:eastAsia="方正仿宋简体"/>
          <w:color w:val="000000" w:themeColor="text1"/>
          <w:sz w:val="32"/>
          <w:szCs w:val="32"/>
          <w14:textFill>
            <w14:solidFill>
              <w14:schemeClr w14:val="tx1"/>
            </w14:solidFill>
          </w14:textFill>
        </w:rPr>
        <w:t>公顷。其中，乔木林地</w:t>
      </w:r>
      <w:r>
        <w:rPr>
          <w:rFonts w:ascii="Times New Roman" w:hAnsi="Times New Roman" w:eastAsia="方正仿宋简体"/>
          <w:color w:val="000000" w:themeColor="text1"/>
          <w:kern w:val="0"/>
          <w:sz w:val="32"/>
          <w:szCs w:val="32"/>
          <w14:textFill>
            <w14:solidFill>
              <w14:schemeClr w14:val="tx1"/>
            </w14:solidFill>
          </w14:textFill>
        </w:rPr>
        <w:t>793.01</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6.16%</w:t>
      </w:r>
      <w:r>
        <w:rPr>
          <w:rFonts w:ascii="Times New Roman" w:hAnsi="Times New Roman" w:eastAsia="方正仿宋简体"/>
          <w:color w:val="000000" w:themeColor="text1"/>
          <w:sz w:val="32"/>
          <w:szCs w:val="32"/>
          <w14:textFill>
            <w14:solidFill>
              <w14:schemeClr w14:val="tx1"/>
            </w14:solidFill>
          </w14:textFill>
        </w:rPr>
        <w:t>；其他林地</w:t>
      </w:r>
      <w:r>
        <w:rPr>
          <w:rFonts w:ascii="Times New Roman" w:hAnsi="Times New Roman" w:eastAsia="方正仿宋简体"/>
          <w:color w:val="000000" w:themeColor="text1"/>
          <w:kern w:val="0"/>
          <w:sz w:val="32"/>
          <w:szCs w:val="32"/>
          <w14:textFill>
            <w14:solidFill>
              <w14:schemeClr w14:val="tx1"/>
            </w14:solidFill>
          </w14:textFill>
        </w:rPr>
        <w:t>515.16</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4.00%</w:t>
      </w:r>
      <w:r>
        <w:rPr>
          <w:rFonts w:ascii="Times New Roman" w:hAnsi="Times New Roman" w:eastAsia="方正仿宋简体"/>
          <w:color w:val="000000" w:themeColor="text1"/>
          <w:sz w:val="32"/>
          <w:szCs w:val="32"/>
          <w14:textFill>
            <w14:solidFill>
              <w14:schemeClr w14:val="tx1"/>
            </w14:solidFill>
          </w14:textFill>
        </w:rPr>
        <w:t>。</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四、草地114.72公顷。其中，天然牧草地0公顷，人工牧草地0公顷；其他草地</w:t>
      </w:r>
      <w:r>
        <w:rPr>
          <w:rFonts w:ascii="Times New Roman" w:hAnsi="Times New Roman" w:eastAsia="方正仿宋简体"/>
          <w:color w:val="000000" w:themeColor="text1"/>
          <w:kern w:val="0"/>
          <w:sz w:val="32"/>
          <w:szCs w:val="32"/>
          <w14:textFill>
            <w14:solidFill>
              <w14:schemeClr w14:val="tx1"/>
            </w14:solidFill>
          </w14:textFill>
        </w:rPr>
        <w:t>114.72</w:t>
      </w:r>
      <w:r>
        <w:rPr>
          <w:rFonts w:ascii="Times New Roman" w:hAnsi="Times New Roman" w:eastAsia="方正仿宋简体"/>
          <w:color w:val="000000" w:themeColor="text1"/>
          <w:sz w:val="32"/>
          <w:szCs w:val="32"/>
          <w14:textFill>
            <w14:solidFill>
              <w14:schemeClr w14:val="tx1"/>
            </w14:solidFill>
          </w14:textFill>
        </w:rPr>
        <w:t>公顷，占</w:t>
      </w:r>
      <w:r>
        <w:rPr>
          <w:rFonts w:ascii="Times New Roman" w:hAnsi="Times New Roman" w:eastAsia="方正仿宋简体"/>
          <w:color w:val="000000"/>
          <w:sz w:val="32"/>
          <w:szCs w:val="32"/>
        </w:rPr>
        <w:t>0.89%</w:t>
      </w:r>
      <w:r>
        <w:rPr>
          <w:rFonts w:ascii="Times New Roman" w:hAnsi="Times New Roman" w:eastAsia="方正仿宋简体"/>
          <w:color w:val="000000" w:themeColor="text1"/>
          <w:sz w:val="32"/>
          <w:szCs w:val="32"/>
          <w14:textFill>
            <w14:solidFill>
              <w14:schemeClr w14:val="tx1"/>
            </w14:solidFill>
          </w14:textFill>
        </w:rPr>
        <w:t>。</w:t>
      </w:r>
    </w:p>
    <w:p>
      <w:pPr>
        <w:pStyle w:val="5"/>
        <w:spacing w:before="0" w:after="0" w:line="560" w:lineRule="exact"/>
        <w:jc w:val="left"/>
        <w:rPr>
          <w:rFonts w:ascii="Times New Roman" w:hAnsi="Times New Roman" w:eastAsia="方正仿宋简体"/>
          <w:b w:val="0"/>
          <w:bCs w:val="0"/>
          <w:color w:val="000000" w:themeColor="text1"/>
          <w:sz w:val="32"/>
          <w:szCs w:val="32"/>
          <w14:textFill>
            <w14:solidFill>
              <w14:schemeClr w14:val="tx1"/>
            </w14:solidFill>
          </w14:textFill>
        </w:rPr>
      </w:pPr>
      <w:r>
        <w:rPr>
          <w:rFonts w:ascii="Times New Roman" w:hAnsi="Times New Roman" w:eastAsia="方正仿宋简体"/>
          <w:b w:val="0"/>
          <w:bCs w:val="0"/>
          <w:color w:val="000000" w:themeColor="text1"/>
          <w:sz w:val="32"/>
          <w:szCs w:val="32"/>
          <w14:textFill>
            <w14:solidFill>
              <w14:schemeClr w14:val="tx1"/>
            </w14:solidFill>
          </w14:textFill>
        </w:rPr>
        <w:t>2.4.3.2区域种植现状</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根据济宁太白湖新区自然资源局提供的数据，济宁太白湖新区共有耕地3540.94公顷，园地</w:t>
      </w:r>
      <w:r>
        <w:rPr>
          <w:rFonts w:ascii="Times New Roman" w:hAnsi="Times New Roman" w:eastAsia="方正仿宋简体"/>
          <w:color w:val="000000"/>
          <w:sz w:val="32"/>
          <w:szCs w:val="32"/>
        </w:rPr>
        <w:t>235.31</w:t>
      </w:r>
      <w:r>
        <w:rPr>
          <w:rFonts w:ascii="Times New Roman" w:hAnsi="Times New Roman" w:eastAsia="方正仿宋简体"/>
          <w:color w:val="000000" w:themeColor="text1"/>
          <w:sz w:val="32"/>
          <w:szCs w:val="32"/>
          <w14:textFill>
            <w14:solidFill>
              <w14:schemeClr w14:val="tx1"/>
            </w14:solidFill>
          </w14:textFill>
        </w:rPr>
        <w:t>公顷，林地</w:t>
      </w:r>
      <w:r>
        <w:rPr>
          <w:rFonts w:ascii="Times New Roman" w:hAnsi="Times New Roman" w:eastAsia="方正仿宋简体"/>
          <w:color w:val="000000"/>
          <w:sz w:val="32"/>
          <w:szCs w:val="32"/>
        </w:rPr>
        <w:t>1308.17</w:t>
      </w:r>
      <w:r>
        <w:rPr>
          <w:rFonts w:ascii="Times New Roman" w:hAnsi="Times New Roman" w:eastAsia="方正仿宋简体"/>
          <w:color w:val="000000" w:themeColor="text1"/>
          <w:sz w:val="32"/>
          <w:szCs w:val="32"/>
          <w14:textFill>
            <w14:solidFill>
              <w14:schemeClr w14:val="tx1"/>
            </w14:solidFill>
          </w14:textFill>
        </w:rPr>
        <w:t>公顷。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根据济宁太白湖新区统计局提供的数据，2021年全区粮食种植面积3540.94公顷，大田作物产量81455.66吨，蔬菜产量为4176吨，水果产量890.6吨，人工草产量2000吨。</w:t>
      </w:r>
    </w:p>
    <w:p>
      <w:pPr>
        <w:spacing w:line="560" w:lineRule="exact"/>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表2.4-15 太白湖新区主要作物产能</w:t>
      </w:r>
    </w:p>
    <w:tbl>
      <w:tblPr>
        <w:tblStyle w:val="27"/>
        <w:tblW w:w="5000" w:type="pct"/>
        <w:tblInd w:w="0" w:type="dxa"/>
        <w:tblLayout w:type="autofit"/>
        <w:tblCellMar>
          <w:top w:w="0" w:type="dxa"/>
          <w:left w:w="108" w:type="dxa"/>
          <w:bottom w:w="0" w:type="dxa"/>
          <w:right w:w="108" w:type="dxa"/>
        </w:tblCellMar>
      </w:tblPr>
      <w:tblGrid>
        <w:gridCol w:w="3245"/>
        <w:gridCol w:w="2423"/>
        <w:gridCol w:w="3278"/>
      </w:tblGrid>
      <w:tr>
        <w:tblPrEx>
          <w:tblCellMar>
            <w:top w:w="0" w:type="dxa"/>
            <w:left w:w="108" w:type="dxa"/>
            <w:bottom w:w="0" w:type="dxa"/>
            <w:right w:w="108" w:type="dxa"/>
          </w:tblCellMar>
        </w:tblPrEx>
        <w:trPr>
          <w:trHeight w:val="432" w:hRule="atLeast"/>
        </w:trPr>
        <w:tc>
          <w:tcPr>
            <w:tcW w:w="316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作物种类</w:t>
            </w:r>
          </w:p>
        </w:tc>
        <w:tc>
          <w:tcPr>
            <w:tcW w:w="1832"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2021年产量（t）</w:t>
            </w:r>
          </w:p>
        </w:tc>
      </w:tr>
      <w:tr>
        <w:tblPrEx>
          <w:tblCellMar>
            <w:top w:w="0" w:type="dxa"/>
            <w:left w:w="108" w:type="dxa"/>
            <w:bottom w:w="0" w:type="dxa"/>
            <w:right w:w="108" w:type="dxa"/>
          </w:tblCellMar>
        </w:tblPrEx>
        <w:trPr>
          <w:trHeight w:val="270" w:hRule="atLeast"/>
        </w:trPr>
        <w:tc>
          <w:tcPr>
            <w:tcW w:w="1814" w:type="pct"/>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大田作物</w:t>
            </w: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小麦</w:t>
            </w:r>
          </w:p>
        </w:tc>
        <w:tc>
          <w:tcPr>
            <w:tcW w:w="1832"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40727.83</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玉米</w:t>
            </w:r>
          </w:p>
        </w:tc>
        <w:tc>
          <w:tcPr>
            <w:tcW w:w="1832"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18418.83</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大豆</w:t>
            </w:r>
          </w:p>
        </w:tc>
        <w:tc>
          <w:tcPr>
            <w:tcW w:w="1832"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22309</w:t>
            </w:r>
          </w:p>
        </w:tc>
      </w:tr>
      <w:tr>
        <w:tblPrEx>
          <w:tblCellMar>
            <w:top w:w="0" w:type="dxa"/>
            <w:left w:w="108" w:type="dxa"/>
            <w:bottom w:w="0" w:type="dxa"/>
            <w:right w:w="108" w:type="dxa"/>
          </w:tblCellMar>
        </w:tblPrEx>
        <w:trPr>
          <w:trHeight w:val="270" w:hRule="atLeast"/>
        </w:trPr>
        <w:tc>
          <w:tcPr>
            <w:tcW w:w="1814" w:type="pct"/>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蔬菜</w:t>
            </w: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黄瓜</w:t>
            </w:r>
          </w:p>
        </w:tc>
        <w:tc>
          <w:tcPr>
            <w:tcW w:w="1832"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654</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番茄</w:t>
            </w:r>
          </w:p>
        </w:tc>
        <w:tc>
          <w:tcPr>
            <w:tcW w:w="1832"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1753</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茄子</w:t>
            </w:r>
          </w:p>
        </w:tc>
        <w:tc>
          <w:tcPr>
            <w:tcW w:w="1832"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296</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大白菜</w:t>
            </w:r>
          </w:p>
        </w:tc>
        <w:tc>
          <w:tcPr>
            <w:tcW w:w="1832"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781</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萝卜</w:t>
            </w:r>
          </w:p>
        </w:tc>
        <w:tc>
          <w:tcPr>
            <w:tcW w:w="1832"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229</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大葱</w:t>
            </w:r>
          </w:p>
        </w:tc>
        <w:tc>
          <w:tcPr>
            <w:tcW w:w="1832"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78</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大蒜</w:t>
            </w:r>
          </w:p>
        </w:tc>
        <w:tc>
          <w:tcPr>
            <w:tcW w:w="1832"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233</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青椒</w:t>
            </w:r>
          </w:p>
        </w:tc>
        <w:tc>
          <w:tcPr>
            <w:tcW w:w="1832"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152</w:t>
            </w:r>
          </w:p>
        </w:tc>
      </w:tr>
      <w:tr>
        <w:tblPrEx>
          <w:tblCellMar>
            <w:top w:w="0" w:type="dxa"/>
            <w:left w:w="108" w:type="dxa"/>
            <w:bottom w:w="0" w:type="dxa"/>
            <w:right w:w="108" w:type="dxa"/>
          </w:tblCellMar>
        </w:tblPrEx>
        <w:trPr>
          <w:trHeight w:val="270" w:hRule="atLeast"/>
        </w:trPr>
        <w:tc>
          <w:tcPr>
            <w:tcW w:w="1814" w:type="pct"/>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果树</w:t>
            </w: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桃</w:t>
            </w:r>
          </w:p>
        </w:tc>
        <w:tc>
          <w:tcPr>
            <w:tcW w:w="1832"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15.6</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葡萄</w:t>
            </w:r>
          </w:p>
        </w:tc>
        <w:tc>
          <w:tcPr>
            <w:tcW w:w="1832"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875</w:t>
            </w:r>
          </w:p>
        </w:tc>
      </w:tr>
      <w:tr>
        <w:tblPrEx>
          <w:tblCellMar>
            <w:top w:w="0" w:type="dxa"/>
            <w:left w:w="108" w:type="dxa"/>
            <w:bottom w:w="0" w:type="dxa"/>
            <w:right w:w="108" w:type="dxa"/>
          </w:tblCellMar>
        </w:tblPrEx>
        <w:trPr>
          <w:trHeight w:val="270" w:hRule="atLeast"/>
        </w:trPr>
        <w:tc>
          <w:tcPr>
            <w:tcW w:w="1814"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人工草地</w:t>
            </w: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苜蓿</w:t>
            </w:r>
          </w:p>
        </w:tc>
        <w:tc>
          <w:tcPr>
            <w:tcW w:w="1832"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2000</w:t>
            </w:r>
          </w:p>
        </w:tc>
      </w:tr>
    </w:tbl>
    <w:p>
      <w:pPr>
        <w:pStyle w:val="5"/>
        <w:spacing w:before="0" w:after="0" w:line="560" w:lineRule="exact"/>
        <w:jc w:val="left"/>
        <w:rPr>
          <w:rFonts w:ascii="Times New Roman" w:hAnsi="Times New Roman" w:eastAsia="方正仿宋简体"/>
          <w:b w:val="0"/>
          <w:bCs w:val="0"/>
          <w:color w:val="000000" w:themeColor="text1"/>
          <w:sz w:val="32"/>
          <w:szCs w:val="32"/>
          <w14:textFill>
            <w14:solidFill>
              <w14:schemeClr w14:val="tx1"/>
            </w14:solidFill>
          </w14:textFill>
        </w:rPr>
      </w:pPr>
      <w:r>
        <w:rPr>
          <w:rFonts w:ascii="Times New Roman" w:hAnsi="Times New Roman" w:eastAsia="方正仿宋简体"/>
          <w:b w:val="0"/>
          <w:bCs w:val="0"/>
          <w:color w:val="000000" w:themeColor="text1"/>
          <w:sz w:val="32"/>
          <w:szCs w:val="32"/>
          <w14:textFill>
            <w14:solidFill>
              <w14:schemeClr w14:val="tx1"/>
            </w14:solidFill>
          </w14:textFill>
        </w:rPr>
        <w:t>2.4.3.3粪污还田种养结合现状</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调查统计，济宁太白湖新区规模化养殖场共8家，均配备有相匹配的消纳土地，共配套消纳土地面积14842.4亩，专业养殖户及散养户由于养殖规模较小，产生的粪污多为就近消纳。济宁太白湖新区镇街规模化养殖场土地配设情况见表2.4-16。</w:t>
      </w:r>
    </w:p>
    <w:p>
      <w:pPr>
        <w:spacing w:line="560" w:lineRule="exact"/>
        <w:jc w:val="center"/>
        <w:rPr>
          <w:rFonts w:ascii="Times New Roman" w:hAnsi="Times New Roman" w:eastAsia="方正仿宋简体"/>
          <w:b/>
          <w:color w:val="000000" w:themeColor="text1"/>
          <w:kern w:val="0"/>
          <w:sz w:val="32"/>
          <w:szCs w:val="32"/>
          <w14:textFill>
            <w14:solidFill>
              <w14:schemeClr w14:val="tx1"/>
            </w14:solidFill>
          </w14:textFill>
        </w:rPr>
      </w:pPr>
      <w:r>
        <w:rPr>
          <w:rFonts w:ascii="Times New Roman" w:hAnsi="Times New Roman" w:eastAsia="方正仿宋简体"/>
          <w:b/>
          <w:color w:val="000000" w:themeColor="text1"/>
          <w:kern w:val="0"/>
          <w:sz w:val="32"/>
          <w:szCs w:val="32"/>
          <w14:textFill>
            <w14:solidFill>
              <w14:schemeClr w14:val="tx1"/>
            </w14:solidFill>
          </w14:textFill>
        </w:rPr>
        <w:t>表2.4-16 济宁太白湖新区镇街规模化养殖场土地配设情况</w:t>
      </w:r>
    </w:p>
    <w:tbl>
      <w:tblPr>
        <w:tblStyle w:val="27"/>
        <w:tblW w:w="5000" w:type="pct"/>
        <w:jc w:val="center"/>
        <w:tblLayout w:type="autofit"/>
        <w:tblCellMar>
          <w:top w:w="0" w:type="dxa"/>
          <w:left w:w="0" w:type="dxa"/>
          <w:bottom w:w="0" w:type="dxa"/>
          <w:right w:w="0" w:type="dxa"/>
        </w:tblCellMar>
      </w:tblPr>
      <w:tblGrid>
        <w:gridCol w:w="573"/>
        <w:gridCol w:w="1120"/>
        <w:gridCol w:w="931"/>
        <w:gridCol w:w="854"/>
        <w:gridCol w:w="868"/>
        <w:gridCol w:w="920"/>
        <w:gridCol w:w="868"/>
        <w:gridCol w:w="868"/>
        <w:gridCol w:w="869"/>
        <w:gridCol w:w="869"/>
      </w:tblGrid>
      <w:tr>
        <w:tblPrEx>
          <w:tblCellMar>
            <w:top w:w="0" w:type="dxa"/>
            <w:left w:w="0" w:type="dxa"/>
            <w:bottom w:w="0" w:type="dxa"/>
            <w:right w:w="0" w:type="dxa"/>
          </w:tblCellMar>
        </w:tblPrEx>
        <w:trPr>
          <w:trHeight w:val="482" w:hRule="atLeast"/>
          <w:tblHeader/>
          <w:jc w:val="center"/>
        </w:trPr>
        <w:tc>
          <w:tcPr>
            <w:tcW w:w="32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序号</w:t>
            </w:r>
          </w:p>
        </w:tc>
        <w:tc>
          <w:tcPr>
            <w:tcW w:w="64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镇街</w:t>
            </w:r>
          </w:p>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名称</w:t>
            </w:r>
          </w:p>
        </w:tc>
        <w:tc>
          <w:tcPr>
            <w:tcW w:w="1005" w:type="pct"/>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生猪</w:t>
            </w:r>
          </w:p>
        </w:tc>
        <w:tc>
          <w:tcPr>
            <w:tcW w:w="1008" w:type="pct"/>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肉牛</w:t>
            </w:r>
          </w:p>
        </w:tc>
        <w:tc>
          <w:tcPr>
            <w:tcW w:w="1008" w:type="pct"/>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羊</w:t>
            </w:r>
          </w:p>
        </w:tc>
        <w:tc>
          <w:tcPr>
            <w:tcW w:w="1008" w:type="pct"/>
            <w:gridSpan w:val="2"/>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禽类</w:t>
            </w:r>
          </w:p>
        </w:tc>
      </w:tr>
      <w:tr>
        <w:tblPrEx>
          <w:tblCellMar>
            <w:top w:w="0" w:type="dxa"/>
            <w:left w:w="0" w:type="dxa"/>
            <w:bottom w:w="0" w:type="dxa"/>
            <w:right w:w="0" w:type="dxa"/>
          </w:tblCellMar>
        </w:tblPrEx>
        <w:trPr>
          <w:trHeight w:val="482" w:hRule="atLeast"/>
          <w:tblHeader/>
          <w:jc w:val="center"/>
        </w:trPr>
        <w:tc>
          <w:tcPr>
            <w:tcW w:w="323"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p>
        </w:tc>
        <w:tc>
          <w:tcPr>
            <w:tcW w:w="648" w:type="pct"/>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p>
        </w:tc>
        <w:tc>
          <w:tcPr>
            <w:tcW w:w="540"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养殖场数量（家）</w:t>
            </w:r>
          </w:p>
        </w:tc>
        <w:tc>
          <w:tcPr>
            <w:tcW w:w="465"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配套耕地面积（亩）</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养殖场数量（家）</w:t>
            </w:r>
          </w:p>
        </w:tc>
        <w:tc>
          <w:tcPr>
            <w:tcW w:w="504" w:type="pct"/>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配套耕地面积（亩）</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养殖场数量（家）</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配套耕地面积（亩）</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养殖场数量（家）</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配套耕地面积（亩）</w:t>
            </w:r>
          </w:p>
        </w:tc>
      </w:tr>
      <w:tr>
        <w:tblPrEx>
          <w:tblCellMar>
            <w:top w:w="0" w:type="dxa"/>
            <w:left w:w="0" w:type="dxa"/>
            <w:bottom w:w="0" w:type="dxa"/>
            <w:right w:w="0" w:type="dxa"/>
          </w:tblCellMar>
        </w:tblPrEx>
        <w:trPr>
          <w:trHeight w:val="482" w:hRule="atLeast"/>
          <w:jc w:val="center"/>
        </w:trPr>
        <w:tc>
          <w:tcPr>
            <w:tcW w:w="323"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w:t>
            </w:r>
          </w:p>
        </w:tc>
        <w:tc>
          <w:tcPr>
            <w:tcW w:w="648" w:type="pct"/>
            <w:tcBorders>
              <w:top w:val="nil"/>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方正仿宋简体"/>
                <w:color w:val="000000" w:themeColor="text1"/>
                <w:sz w:val="28"/>
                <w:szCs w:val="28"/>
                <w14:textFill>
                  <w14:solidFill>
                    <w14:schemeClr w14:val="tx1"/>
                  </w14:solidFill>
                </w14:textFill>
              </w:rPr>
            </w:pPr>
            <w:r>
              <w:rPr>
                <w:rFonts w:ascii="Times New Roman" w:hAnsi="Times New Roman" w:eastAsia="方正仿宋简体"/>
                <w:color w:val="000000" w:themeColor="text1"/>
                <w:sz w:val="28"/>
                <w:szCs w:val="28"/>
                <w14:textFill>
                  <w14:solidFill>
                    <w14:schemeClr w14:val="tx1"/>
                  </w14:solidFill>
                </w14:textFill>
              </w:rPr>
              <w:t>许庄</w:t>
            </w:r>
          </w:p>
          <w:p>
            <w:pPr>
              <w:snapToGrid w:val="0"/>
              <w:jc w:val="center"/>
              <w:rPr>
                <w:rFonts w:ascii="Times New Roman" w:hAnsi="Times New Roman" w:eastAsia="方正仿宋简体"/>
                <w:color w:val="000000" w:themeColor="text1"/>
                <w:sz w:val="28"/>
                <w:szCs w:val="28"/>
                <w14:textFill>
                  <w14:solidFill>
                    <w14:schemeClr w14:val="tx1"/>
                  </w14:solidFill>
                </w14:textFill>
              </w:rPr>
            </w:pPr>
            <w:r>
              <w:rPr>
                <w:rFonts w:ascii="Times New Roman" w:hAnsi="Times New Roman" w:eastAsia="方正仿宋简体"/>
                <w:color w:val="000000" w:themeColor="text1"/>
                <w:sz w:val="28"/>
                <w:szCs w:val="28"/>
                <w14:textFill>
                  <w14:solidFill>
                    <w14:schemeClr w14:val="tx1"/>
                  </w14:solidFill>
                </w14:textFill>
              </w:rPr>
              <w:t>街道</w:t>
            </w:r>
          </w:p>
        </w:tc>
        <w:tc>
          <w:tcPr>
            <w:tcW w:w="540"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465"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r>
      <w:tr>
        <w:tblPrEx>
          <w:tblCellMar>
            <w:top w:w="0" w:type="dxa"/>
            <w:left w:w="0" w:type="dxa"/>
            <w:bottom w:w="0" w:type="dxa"/>
            <w:right w:w="0" w:type="dxa"/>
          </w:tblCellMar>
        </w:tblPrEx>
        <w:trPr>
          <w:trHeight w:val="482" w:hRule="atLeast"/>
          <w:jc w:val="center"/>
        </w:trPr>
        <w:tc>
          <w:tcPr>
            <w:tcW w:w="323" w:type="pct"/>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w:t>
            </w:r>
          </w:p>
        </w:tc>
        <w:tc>
          <w:tcPr>
            <w:tcW w:w="648" w:type="pct"/>
            <w:tcBorders>
              <w:top w:val="nil"/>
              <w:left w:val="nil"/>
              <w:bottom w:val="single" w:color="auto" w:sz="4" w:space="0"/>
              <w:right w:val="single" w:color="auto" w:sz="4" w:space="0"/>
            </w:tcBorders>
            <w:shd w:val="clear" w:color="auto" w:fill="auto"/>
            <w:noWrap/>
            <w:vAlign w:val="center"/>
          </w:tcPr>
          <w:p>
            <w:pPr>
              <w:snapToGrid w:val="0"/>
              <w:jc w:val="center"/>
              <w:rPr>
                <w:rFonts w:ascii="Times New Roman" w:hAnsi="Times New Roman" w:eastAsia="方正仿宋简体"/>
                <w:color w:val="000000" w:themeColor="text1"/>
                <w:sz w:val="28"/>
                <w:szCs w:val="28"/>
                <w14:textFill>
                  <w14:solidFill>
                    <w14:schemeClr w14:val="tx1"/>
                  </w14:solidFill>
                </w14:textFill>
              </w:rPr>
            </w:pPr>
            <w:r>
              <w:rPr>
                <w:rFonts w:ascii="Times New Roman" w:hAnsi="Times New Roman" w:eastAsia="方正仿宋简体"/>
                <w:color w:val="000000" w:themeColor="text1"/>
                <w:sz w:val="28"/>
                <w:szCs w:val="28"/>
                <w14:textFill>
                  <w14:solidFill>
                    <w14:schemeClr w14:val="tx1"/>
                  </w14:solidFill>
                </w14:textFill>
              </w:rPr>
              <w:t>石桥镇</w:t>
            </w:r>
          </w:p>
        </w:tc>
        <w:tc>
          <w:tcPr>
            <w:tcW w:w="540"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6</w:t>
            </w:r>
          </w:p>
        </w:tc>
        <w:tc>
          <w:tcPr>
            <w:tcW w:w="465"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1420</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13352.4</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70</w:t>
            </w:r>
          </w:p>
        </w:tc>
      </w:tr>
      <w:tr>
        <w:tblPrEx>
          <w:tblCellMar>
            <w:top w:w="0" w:type="dxa"/>
            <w:left w:w="0" w:type="dxa"/>
            <w:bottom w:w="0" w:type="dxa"/>
            <w:right w:w="0" w:type="dxa"/>
          </w:tblCellMar>
        </w:tblPrEx>
        <w:trPr>
          <w:trHeight w:val="482" w:hRule="atLeast"/>
          <w:jc w:val="center"/>
        </w:trPr>
        <w:tc>
          <w:tcPr>
            <w:tcW w:w="971" w:type="pct"/>
            <w:gridSpan w:val="2"/>
            <w:tcBorders>
              <w:top w:val="nil"/>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方正仿宋简体"/>
                <w:color w:val="000000" w:themeColor="text1"/>
                <w:sz w:val="28"/>
                <w:szCs w:val="28"/>
                <w14:textFill>
                  <w14:solidFill>
                    <w14:schemeClr w14:val="tx1"/>
                  </w14:solidFill>
                </w14:textFill>
              </w:rPr>
            </w:pPr>
            <w:r>
              <w:rPr>
                <w:rFonts w:ascii="Times New Roman" w:hAnsi="Times New Roman" w:eastAsia="方正仿宋简体"/>
                <w:color w:val="000000" w:themeColor="text1"/>
                <w:sz w:val="28"/>
                <w:szCs w:val="28"/>
                <w14:textFill>
                  <w14:solidFill>
                    <w14:schemeClr w14:val="tx1"/>
                  </w14:solidFill>
                </w14:textFill>
              </w:rPr>
              <w:t>合计</w:t>
            </w:r>
          </w:p>
        </w:tc>
        <w:tc>
          <w:tcPr>
            <w:tcW w:w="540"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6</w:t>
            </w:r>
          </w:p>
        </w:tc>
        <w:tc>
          <w:tcPr>
            <w:tcW w:w="465"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1420</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13352.4</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w:t>
            </w:r>
          </w:p>
        </w:tc>
        <w:tc>
          <w:tcPr>
            <w:tcW w:w="50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70</w:t>
            </w:r>
          </w:p>
        </w:tc>
      </w:tr>
    </w:tbl>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经调查，济宁太白湖新区种植业施用化肥的占比较大。粪肥施用基本采用人工施肥的方式进行，存在土地施用粪肥不均，有机肥资源化利用率较低的现象。为落实畜禽养殖粪污资源化利用，济宁太白湖新区按照“种养结合、农牧循环、就近消纳、综合利用”的总体思路，要求养殖场建设与养殖规模相匹配的粪污处理设施。通过自有、租赁、协议使用等方式，确保每个养殖场配套满足消纳本场全部畜禽粪便污水的土地（农田、果园或林地），以实现畜禽粪便污水资源化利用。通过探索种养结合农业循环经济模式，使得畜牧业和种植业相互促进、循环发展，以实现保护生态环境和促进畜牧业可持续发展的目的。</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196" w:name="_Toc119856681"/>
      <w:bookmarkStart w:id="197" w:name="_Toc119843226"/>
      <w:bookmarkStart w:id="198" w:name="_Toc119849221"/>
      <w:bookmarkStart w:id="199" w:name="_Toc119856293"/>
      <w:bookmarkStart w:id="200" w:name="_Toc119835903"/>
      <w:bookmarkStart w:id="201" w:name="_Toc138888974"/>
      <w:r>
        <w:rPr>
          <w:rFonts w:ascii="Times New Roman" w:hAnsi="Times New Roman" w:eastAsia="方正仿宋简体"/>
          <w:color w:val="000000" w:themeColor="text1"/>
          <w14:textFill>
            <w14:solidFill>
              <w14:schemeClr w14:val="tx1"/>
            </w14:solidFill>
          </w14:textFill>
        </w:rPr>
        <w:t>2.4.4存在的问题</w:t>
      </w:r>
      <w:bookmarkEnd w:id="196"/>
      <w:bookmarkEnd w:id="197"/>
      <w:bookmarkEnd w:id="198"/>
      <w:bookmarkEnd w:id="199"/>
      <w:bookmarkEnd w:id="200"/>
      <w:bookmarkEnd w:id="201"/>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通过禁限养区的划定及养殖污染防治专项行动实施，畜禽养殖污染整治取得了显著的成效，但是局部地区依然不容乐观。畜禽养殖行业门槛低，布局分散且涉及千家万户，法律法规执行难度大，导致部分养殖废弃物污染问题时有发生，主要存在以下问题：</w:t>
      </w:r>
    </w:p>
    <w:p>
      <w:pPr>
        <w:spacing w:line="560" w:lineRule="exact"/>
        <w:ind w:firstLine="643" w:firstLineChars="200"/>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（1）污染治理工艺设施尚需完善</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在粪污处理方面，现有规模化畜禽养殖场大都采取干清粪工艺，并设有粪尿贮存池，并采取了 相应的“三防”措施，但未全部配备土地综合利用消纳措施。大部分沼气发酵设施相对落后，导致沼气发酵效率较低，无法满足综合利用相关标准要求。尤其在恶臭气体处理方面，部分养殖企业粪污、恶臭处理措施落实不完善，运行管理存在一定问题，区域粪污综合利用水平及恶臭污染防治水平有待提高。</w:t>
      </w:r>
    </w:p>
    <w:p>
      <w:pPr>
        <w:spacing w:line="560" w:lineRule="exact"/>
        <w:ind w:firstLine="643" w:firstLineChars="200"/>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（2）种养结合程度不高，粪便还田通道不畅</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畜禽粪污大量施用尚处于摸索阶段，针对粪肥还田普遍存在大肠杆菌超标、重金属超标、盐量过高导致土壤盐化等担忧。目前，种植业和养殖业各自向着规模化和专业化发展，导致“种地不养猪、养猪不种地”现象普遍。济宁太白湖新区要求养殖场自行配套土地消纳，很多养殖户对此一筹莫展。养殖企业与种植单位签订协议，粪污运费也成为阻碍粪便还田的一大障碍。由于缺少更成熟的市场化运营机制和社会服务组织，粪肥合理调配困难。</w:t>
      </w:r>
    </w:p>
    <w:p>
      <w:pPr>
        <w:spacing w:line="560" w:lineRule="exact"/>
        <w:ind w:firstLine="643" w:firstLineChars="200"/>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（3）规模以下养殖户环境监管困难，执法依据不足</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规模以下养殖户畜禽粪污随意丢弃是造成农村黑臭水体的重要原因之一。目前，济宁太白湖新区畜禽养殖以专业养殖户和散养户居多，污染防治现状难以监管。同时，规模以下养殖户环境执法依据不足，现有的政策对规模以下养殖户在污染防治上给予的补贴很少。</w:t>
      </w:r>
    </w:p>
    <w:p>
      <w:pPr>
        <w:spacing w:line="560" w:lineRule="exact"/>
        <w:ind w:firstLine="643" w:firstLineChars="200"/>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（4）畜禽养殖主体责任意识不强</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畜禽养殖业从业人员普遍文化程度不高，治污意识、守法意识淡薄，治污主体责任意识不强，治污主动性不够，生态消纳地或工业化处理设施无论在一次投入还是日常运行上资金需求大，畜禽养殖主体在治污投入上积极性不高。</w:t>
      </w:r>
    </w:p>
    <w:p>
      <w:pPr>
        <w:pStyle w:val="2"/>
        <w:spacing w:before="0" w:after="0" w:line="560" w:lineRule="exact"/>
        <w:jc w:val="left"/>
        <w:rPr>
          <w:rFonts w:ascii="Times New Roman" w:hAnsi="Times New Roman" w:eastAsia="方正仿宋简体"/>
          <w:b w:val="0"/>
          <w:color w:val="000000" w:themeColor="text1"/>
          <w:sz w:val="32"/>
          <w:szCs w:val="32"/>
          <w14:textFill>
            <w14:solidFill>
              <w14:schemeClr w14:val="tx1"/>
            </w14:solidFill>
          </w14:textFill>
        </w:rPr>
        <w:sectPr>
          <w:headerReference r:id="rId8" w:type="default"/>
          <w:pgSz w:w="11906" w:h="16838"/>
          <w:pgMar w:top="2098" w:right="1588" w:bottom="2098" w:left="1588" w:header="851" w:footer="992" w:gutter="0"/>
          <w:cols w:space="425" w:num="1"/>
          <w:docGrid w:type="lines" w:linePitch="312" w:charSpace="0"/>
        </w:sectPr>
      </w:pPr>
      <w:bookmarkStart w:id="202" w:name="_Toc119856294"/>
      <w:bookmarkStart w:id="203" w:name="_Toc119835904"/>
      <w:bookmarkStart w:id="204" w:name="_Toc119843227"/>
      <w:bookmarkStart w:id="205" w:name="_Toc119849222"/>
      <w:bookmarkStart w:id="206" w:name="_Toc119856682"/>
    </w:p>
    <w:p>
      <w:pPr>
        <w:pStyle w:val="2"/>
        <w:spacing w:before="0" w:after="0" w:line="560" w:lineRule="exact"/>
        <w:jc w:val="left"/>
        <w:rPr>
          <w:rFonts w:ascii="Times New Roman" w:hAnsi="Times New Roman" w:eastAsia="方正黑体简体"/>
          <w:b w:val="0"/>
          <w:color w:val="000000" w:themeColor="text1"/>
          <w:sz w:val="32"/>
          <w:szCs w:val="32"/>
          <w14:textFill>
            <w14:solidFill>
              <w14:schemeClr w14:val="tx1"/>
            </w14:solidFill>
          </w14:textFill>
        </w:rPr>
      </w:pPr>
      <w:bookmarkStart w:id="207" w:name="_Toc138888975"/>
      <w:r>
        <w:rPr>
          <w:rFonts w:ascii="Times New Roman" w:hAnsi="Times New Roman" w:eastAsia="方正黑体简体"/>
          <w:b w:val="0"/>
          <w:color w:val="000000" w:themeColor="text1"/>
          <w:sz w:val="32"/>
          <w:szCs w:val="32"/>
          <w14:textFill>
            <w14:solidFill>
              <w14:schemeClr w14:val="tx1"/>
            </w14:solidFill>
          </w14:textFill>
        </w:rPr>
        <w:t>3规划目标</w:t>
      </w:r>
      <w:bookmarkEnd w:id="202"/>
      <w:bookmarkEnd w:id="203"/>
      <w:bookmarkEnd w:id="204"/>
      <w:bookmarkEnd w:id="205"/>
      <w:bookmarkEnd w:id="206"/>
      <w:bookmarkEnd w:id="207"/>
    </w:p>
    <w:p>
      <w:pPr>
        <w:pStyle w:val="3"/>
      </w:pPr>
      <w:bookmarkStart w:id="208" w:name="_Toc119843228"/>
      <w:bookmarkStart w:id="209" w:name="_Toc119856295"/>
      <w:bookmarkStart w:id="210" w:name="_Toc119856683"/>
      <w:bookmarkStart w:id="211" w:name="_Toc119835905"/>
      <w:bookmarkStart w:id="212" w:name="_Toc119849223"/>
      <w:bookmarkStart w:id="213" w:name="_Toc138888976"/>
      <w:r>
        <w:t>3.1规划目标指标</w:t>
      </w:r>
      <w:bookmarkEnd w:id="208"/>
      <w:bookmarkEnd w:id="209"/>
      <w:bookmarkEnd w:id="210"/>
      <w:bookmarkEnd w:id="211"/>
      <w:bookmarkEnd w:id="212"/>
      <w:bookmarkEnd w:id="213"/>
    </w:p>
    <w:p>
      <w:pPr>
        <w:spacing w:line="560" w:lineRule="exact"/>
        <w:ind w:right="-105" w:rightChars="-50"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关于进一步明确畜禽粪污还田利用要求强化养殖污染监管的通知》（农办牧〔2020〕23号）及《济宁市畜禽养殖污染防治规划》（济政字〔2023〕18号）等相关要求，确定济宁太白湖新区畜禽养殖业污染防治规划的总体目标为：逐步完善畜禽养殖业污染物收集处理体系，加快高效生态养殖业发展，逐步提升畜禽粪污资源化利用，有效控制污染物排放总量。到2025年建立起空间布局合理、种养结合紧密、粪污高效利用、污染治理能力大幅提升、污染排放有效控制的畜牧业发展与污染防治格局。建立起权责清晰、约束有力的畜禽养殖粪污资源化利用制度，全市畜禽粪污综合利用率保持93%以上，畜禽规模养殖场及养殖专业户粪污处理设施装备配套率达到100%，畜禽规模养殖场粪污资源化利用台帐建设率达到100%，取得排污许可证的畜禽规模养殖场按照排污许可证要求自行监测覆盖率达到100%，氨排放削减量完成上级下达任务。畜禽养殖规划指标体系见表3.1-1。</w:t>
      </w:r>
    </w:p>
    <w:p>
      <w:pPr>
        <w:spacing w:line="560" w:lineRule="exact"/>
        <w:jc w:val="center"/>
        <w:rPr>
          <w:rFonts w:ascii="Times New Roman" w:hAnsi="Times New Roman" w:eastAsia="方正仿宋简体"/>
          <w:b/>
          <w:color w:val="000000" w:themeColor="text1"/>
          <w:sz w:val="32"/>
          <w:szCs w:val="32"/>
          <w14:textFill>
            <w14:solidFill>
              <w14:schemeClr w14:val="tx1"/>
            </w14:solidFill>
          </w14:textFill>
        </w:rPr>
      </w:pPr>
    </w:p>
    <w:p>
      <w:pPr>
        <w:spacing w:line="560" w:lineRule="exact"/>
        <w:jc w:val="center"/>
        <w:rPr>
          <w:rFonts w:ascii="Times New Roman" w:hAnsi="Times New Roman" w:eastAsia="方正仿宋简体"/>
          <w:b/>
          <w:color w:val="000000" w:themeColor="text1"/>
          <w:sz w:val="32"/>
          <w:szCs w:val="32"/>
          <w14:textFill>
            <w14:solidFill>
              <w14:schemeClr w14:val="tx1"/>
            </w14:solidFill>
          </w14:textFill>
        </w:rPr>
      </w:pPr>
    </w:p>
    <w:p>
      <w:pPr>
        <w:spacing w:line="560" w:lineRule="exact"/>
        <w:jc w:val="center"/>
        <w:rPr>
          <w:rFonts w:ascii="Times New Roman" w:hAnsi="Times New Roman" w:eastAsia="方正仿宋简体"/>
          <w:b/>
          <w:color w:val="000000" w:themeColor="text1"/>
          <w:sz w:val="32"/>
          <w:szCs w:val="32"/>
          <w14:textFill>
            <w14:solidFill>
              <w14:schemeClr w14:val="tx1"/>
            </w14:solidFill>
          </w14:textFill>
        </w:rPr>
      </w:pPr>
    </w:p>
    <w:p>
      <w:pPr>
        <w:spacing w:line="560" w:lineRule="exact"/>
        <w:jc w:val="center"/>
        <w:rPr>
          <w:rFonts w:ascii="Times New Roman" w:hAnsi="Times New Roman" w:eastAsia="方正仿宋简体"/>
          <w:b/>
          <w:color w:val="000000" w:themeColor="text1"/>
          <w:sz w:val="32"/>
          <w:szCs w:val="32"/>
          <w14:textFill>
            <w14:solidFill>
              <w14:schemeClr w14:val="tx1"/>
            </w14:solidFill>
          </w14:textFill>
        </w:rPr>
      </w:pPr>
    </w:p>
    <w:p>
      <w:pPr>
        <w:spacing w:line="560" w:lineRule="exact"/>
        <w:jc w:val="center"/>
        <w:rPr>
          <w:rFonts w:ascii="Times New Roman" w:hAnsi="Times New Roman" w:eastAsia="方正仿宋简体"/>
          <w:b/>
          <w:color w:val="000000" w:themeColor="text1"/>
          <w:sz w:val="32"/>
          <w:szCs w:val="32"/>
          <w14:textFill>
            <w14:solidFill>
              <w14:schemeClr w14:val="tx1"/>
            </w14:solidFill>
          </w14:textFill>
        </w:rPr>
      </w:pPr>
    </w:p>
    <w:p>
      <w:pPr>
        <w:spacing w:line="560" w:lineRule="exact"/>
        <w:jc w:val="center"/>
        <w:rPr>
          <w:rFonts w:ascii="Times New Roman" w:hAnsi="Times New Roman" w:eastAsia="方正仿宋简体"/>
          <w:b/>
          <w:color w:val="000000" w:themeColor="text1"/>
          <w:sz w:val="32"/>
          <w:szCs w:val="32"/>
          <w14:textFill>
            <w14:solidFill>
              <w14:schemeClr w14:val="tx1"/>
            </w14:solidFill>
          </w14:textFill>
        </w:rPr>
      </w:pPr>
    </w:p>
    <w:p>
      <w:pPr>
        <w:spacing w:line="560" w:lineRule="exact"/>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表3.1-1 畜禽养殖规划指标体系</w:t>
      </w:r>
    </w:p>
    <w:tbl>
      <w:tblPr>
        <w:tblStyle w:val="52"/>
        <w:tblW w:w="50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3307"/>
        <w:gridCol w:w="883"/>
        <w:gridCol w:w="1304"/>
        <w:gridCol w:w="1295"/>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53" w:type="pct"/>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序号</w:t>
            </w:r>
          </w:p>
        </w:tc>
        <w:tc>
          <w:tcPr>
            <w:tcW w:w="1842" w:type="pct"/>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指标名称</w:t>
            </w:r>
          </w:p>
        </w:tc>
        <w:tc>
          <w:tcPr>
            <w:tcW w:w="492" w:type="pct"/>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单位</w:t>
            </w:r>
          </w:p>
        </w:tc>
        <w:tc>
          <w:tcPr>
            <w:tcW w:w="726" w:type="pct"/>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指标现状</w:t>
            </w:r>
          </w:p>
        </w:tc>
        <w:tc>
          <w:tcPr>
            <w:tcW w:w="721" w:type="pct"/>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目标值</w:t>
            </w:r>
          </w:p>
        </w:tc>
        <w:tc>
          <w:tcPr>
            <w:tcW w:w="766" w:type="pct"/>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53"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w:t>
            </w:r>
          </w:p>
        </w:tc>
        <w:tc>
          <w:tcPr>
            <w:tcW w:w="1842"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畜禽粪污综合利用率</w:t>
            </w:r>
          </w:p>
        </w:tc>
        <w:tc>
          <w:tcPr>
            <w:tcW w:w="492"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726"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92.04</w:t>
            </w:r>
          </w:p>
        </w:tc>
        <w:tc>
          <w:tcPr>
            <w:tcW w:w="721"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93以上</w:t>
            </w:r>
          </w:p>
        </w:tc>
        <w:tc>
          <w:tcPr>
            <w:tcW w:w="766"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w:t>
            </w:r>
          </w:p>
        </w:tc>
        <w:tc>
          <w:tcPr>
            <w:tcW w:w="1842"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畜禽规模养殖场及养殖专业户粪污处理设施装备配套率</w:t>
            </w:r>
          </w:p>
        </w:tc>
        <w:tc>
          <w:tcPr>
            <w:tcW w:w="492"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726"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100</w:t>
            </w:r>
          </w:p>
        </w:tc>
        <w:tc>
          <w:tcPr>
            <w:tcW w:w="721"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100</w:t>
            </w:r>
          </w:p>
        </w:tc>
        <w:tc>
          <w:tcPr>
            <w:tcW w:w="766"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3</w:t>
            </w:r>
          </w:p>
        </w:tc>
        <w:tc>
          <w:tcPr>
            <w:tcW w:w="1842"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畜禽规模养殖场粪污资源化利用台帐建设率</w:t>
            </w:r>
          </w:p>
        </w:tc>
        <w:tc>
          <w:tcPr>
            <w:tcW w:w="492"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726"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721"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100</w:t>
            </w:r>
          </w:p>
        </w:tc>
        <w:tc>
          <w:tcPr>
            <w:tcW w:w="766"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4</w:t>
            </w:r>
          </w:p>
        </w:tc>
        <w:tc>
          <w:tcPr>
            <w:tcW w:w="1842"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取得排污许可证的畜禽规模养殖场按照排污许可证要求自行监测覆盖率</w:t>
            </w:r>
          </w:p>
        </w:tc>
        <w:tc>
          <w:tcPr>
            <w:tcW w:w="492"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726"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721"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100</w:t>
            </w:r>
          </w:p>
        </w:tc>
        <w:tc>
          <w:tcPr>
            <w:tcW w:w="766"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5</w:t>
            </w:r>
          </w:p>
        </w:tc>
        <w:tc>
          <w:tcPr>
            <w:tcW w:w="1842"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氨排放削减量</w:t>
            </w:r>
          </w:p>
        </w:tc>
        <w:tc>
          <w:tcPr>
            <w:tcW w:w="492"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t/a</w:t>
            </w:r>
          </w:p>
        </w:tc>
        <w:tc>
          <w:tcPr>
            <w:tcW w:w="726"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w:t>
            </w:r>
          </w:p>
        </w:tc>
        <w:tc>
          <w:tcPr>
            <w:tcW w:w="721"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完成上级下达任务</w:t>
            </w:r>
          </w:p>
        </w:tc>
        <w:tc>
          <w:tcPr>
            <w:tcW w:w="766" w:type="pct"/>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预期性</w:t>
            </w:r>
          </w:p>
        </w:tc>
      </w:tr>
    </w:tbl>
    <w:p>
      <w:pPr>
        <w:pStyle w:val="3"/>
      </w:pPr>
      <w:bookmarkStart w:id="214" w:name="_Toc119856684"/>
      <w:bookmarkStart w:id="215" w:name="_Toc119843229"/>
      <w:bookmarkStart w:id="216" w:name="_Toc119856296"/>
      <w:bookmarkStart w:id="217" w:name="_Toc138888977"/>
      <w:bookmarkStart w:id="218" w:name="_Toc119835906"/>
      <w:bookmarkStart w:id="219" w:name="_Toc119849224"/>
      <w:r>
        <w:t>3.2畜禽养殖环境承载力分析</w:t>
      </w:r>
      <w:bookmarkEnd w:id="214"/>
      <w:bookmarkEnd w:id="215"/>
      <w:bookmarkEnd w:id="216"/>
      <w:bookmarkEnd w:id="217"/>
      <w:bookmarkEnd w:id="218"/>
      <w:bookmarkEnd w:id="219"/>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220" w:name="_Toc119856297"/>
      <w:bookmarkStart w:id="221" w:name="_Toc119849225"/>
      <w:bookmarkStart w:id="222" w:name="_Toc119843230"/>
      <w:bookmarkStart w:id="223" w:name="_Toc119856685"/>
      <w:bookmarkStart w:id="224" w:name="_Toc119835907"/>
      <w:bookmarkStart w:id="225" w:name="_Toc138888978"/>
      <w:r>
        <w:rPr>
          <w:rFonts w:ascii="Times New Roman" w:hAnsi="Times New Roman" w:eastAsia="方正仿宋简体"/>
          <w:color w:val="000000" w:themeColor="text1"/>
          <w14:textFill>
            <w14:solidFill>
              <w14:schemeClr w14:val="tx1"/>
            </w14:solidFill>
          </w14:textFill>
        </w:rPr>
        <w:t>3.2.1</w:t>
      </w:r>
      <w:bookmarkEnd w:id="220"/>
      <w:bookmarkEnd w:id="221"/>
      <w:bookmarkEnd w:id="222"/>
      <w:bookmarkEnd w:id="223"/>
      <w:bookmarkEnd w:id="224"/>
      <w:r>
        <w:rPr>
          <w:rFonts w:ascii="Times New Roman" w:hAnsi="Times New Roman" w:eastAsia="方正仿宋简体"/>
          <w:color w:val="000000" w:themeColor="text1"/>
          <w14:textFill>
            <w14:solidFill>
              <w14:schemeClr w14:val="tx1"/>
            </w14:solidFill>
          </w14:textFill>
        </w:rPr>
        <w:t>参数确定</w:t>
      </w:r>
      <w:bookmarkEnd w:id="225"/>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根据农业农村部《畜禽粪便土地承载力测算方法》（NY/T 3877-2021）提供的相关系数，结合济宁太白湖新区作物种植情况，核算辖区土地所能消纳的最大畜禽粪污量（折算为猪当量），全面分析规划范围内畜禽养殖污染防治现状是否与环境承载力相匹配。</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根据农业农村部办公厅《畜禽粪污土地承载力测算技术指南》（农办牧〔2018〕1号），区域畜禽粪污土地承载力等于区域植物粪肥养分需求量除以单位猪当量粪肥养分供给量（以猪当量计）。</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猪当量是指用于衡量畜禽氮（磷）排泄量的度量单位，用于计算畜禽氮排泄量的度量单位，存栏1头生猪的年平均氮排泄量为1个猪当量。推荐1个猪当量1年的氮排泄量为11千克/头。按存栏量折算： 100 头猪相当于15头奶牛、30头肉牛、250只羊、2500只家禽。其他畜种由地方自行设定折算系数。综合考虑畜禽粪污养分在收集、处理和贮存过程中的损失，单位猪当量氮养分供给量为7.0kg。</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以氮为基础，土壤氮养分水平II，粪肥施肥比例45%，粪肥养分供给比例80%，当季利用率25%的情况下，根据主要不同作物形成100kg产量需要吸收氮量推荐值见表3.2-1。</w:t>
      </w:r>
    </w:p>
    <w:p>
      <w:pPr>
        <w:spacing w:line="560" w:lineRule="exact"/>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表3.2-1 太白湖新区主要作物总需氮量</w:t>
      </w:r>
    </w:p>
    <w:tbl>
      <w:tblPr>
        <w:tblStyle w:val="27"/>
        <w:tblW w:w="5000" w:type="pct"/>
        <w:tblInd w:w="0" w:type="dxa"/>
        <w:tblLayout w:type="autofit"/>
        <w:tblCellMar>
          <w:top w:w="0" w:type="dxa"/>
          <w:left w:w="108" w:type="dxa"/>
          <w:bottom w:w="0" w:type="dxa"/>
          <w:right w:w="108" w:type="dxa"/>
        </w:tblCellMar>
      </w:tblPr>
      <w:tblGrid>
        <w:gridCol w:w="2975"/>
        <w:gridCol w:w="2220"/>
        <w:gridCol w:w="3751"/>
      </w:tblGrid>
      <w:tr>
        <w:tblPrEx>
          <w:tblCellMar>
            <w:top w:w="0" w:type="dxa"/>
            <w:left w:w="108" w:type="dxa"/>
            <w:bottom w:w="0" w:type="dxa"/>
            <w:right w:w="108" w:type="dxa"/>
          </w:tblCellMar>
        </w:tblPrEx>
        <w:trPr>
          <w:trHeight w:val="658" w:hRule="atLeast"/>
        </w:trPr>
        <w:tc>
          <w:tcPr>
            <w:tcW w:w="29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作物种类</w:t>
            </w:r>
          </w:p>
        </w:tc>
        <w:tc>
          <w:tcPr>
            <w:tcW w:w="2096"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100kg作物产量氮消耗量（kg）</w:t>
            </w:r>
          </w:p>
        </w:tc>
      </w:tr>
      <w:tr>
        <w:tblPrEx>
          <w:tblCellMar>
            <w:top w:w="0" w:type="dxa"/>
            <w:left w:w="108" w:type="dxa"/>
            <w:bottom w:w="0" w:type="dxa"/>
            <w:right w:w="108" w:type="dxa"/>
          </w:tblCellMar>
        </w:tblPrEx>
        <w:trPr>
          <w:trHeight w:val="270" w:hRule="atLeast"/>
        </w:trPr>
        <w:tc>
          <w:tcPr>
            <w:tcW w:w="1663" w:type="pct"/>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大田作物</w:t>
            </w:r>
          </w:p>
        </w:tc>
        <w:tc>
          <w:tcPr>
            <w:tcW w:w="124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小麦</w:t>
            </w:r>
          </w:p>
        </w:tc>
        <w:tc>
          <w:tcPr>
            <w:tcW w:w="209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3</w:t>
            </w:r>
          </w:p>
        </w:tc>
      </w:tr>
      <w:tr>
        <w:tblPrEx>
          <w:tblCellMar>
            <w:top w:w="0" w:type="dxa"/>
            <w:left w:w="108" w:type="dxa"/>
            <w:bottom w:w="0" w:type="dxa"/>
            <w:right w:w="108" w:type="dxa"/>
          </w:tblCellMar>
        </w:tblPrEx>
        <w:trPr>
          <w:trHeight w:val="270" w:hRule="atLeast"/>
        </w:trPr>
        <w:tc>
          <w:tcPr>
            <w:tcW w:w="1663"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24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玉米</w:t>
            </w:r>
          </w:p>
        </w:tc>
        <w:tc>
          <w:tcPr>
            <w:tcW w:w="209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2.3</w:t>
            </w:r>
          </w:p>
        </w:tc>
      </w:tr>
      <w:tr>
        <w:tblPrEx>
          <w:tblCellMar>
            <w:top w:w="0" w:type="dxa"/>
            <w:left w:w="108" w:type="dxa"/>
            <w:bottom w:w="0" w:type="dxa"/>
            <w:right w:w="108" w:type="dxa"/>
          </w:tblCellMar>
        </w:tblPrEx>
        <w:trPr>
          <w:trHeight w:val="270" w:hRule="atLeast"/>
        </w:trPr>
        <w:tc>
          <w:tcPr>
            <w:tcW w:w="1663"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24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大豆</w:t>
            </w:r>
          </w:p>
        </w:tc>
        <w:tc>
          <w:tcPr>
            <w:tcW w:w="209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7.2</w:t>
            </w:r>
          </w:p>
        </w:tc>
      </w:tr>
      <w:tr>
        <w:tblPrEx>
          <w:tblCellMar>
            <w:top w:w="0" w:type="dxa"/>
            <w:left w:w="108" w:type="dxa"/>
            <w:bottom w:w="0" w:type="dxa"/>
            <w:right w:w="108" w:type="dxa"/>
          </w:tblCellMar>
        </w:tblPrEx>
        <w:trPr>
          <w:trHeight w:val="270" w:hRule="atLeast"/>
        </w:trPr>
        <w:tc>
          <w:tcPr>
            <w:tcW w:w="1663" w:type="pct"/>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蔬菜</w:t>
            </w:r>
          </w:p>
        </w:tc>
        <w:tc>
          <w:tcPr>
            <w:tcW w:w="124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黄瓜</w:t>
            </w:r>
          </w:p>
        </w:tc>
        <w:tc>
          <w:tcPr>
            <w:tcW w:w="209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0.28</w:t>
            </w:r>
          </w:p>
        </w:tc>
      </w:tr>
      <w:tr>
        <w:tblPrEx>
          <w:tblCellMar>
            <w:top w:w="0" w:type="dxa"/>
            <w:left w:w="108" w:type="dxa"/>
            <w:bottom w:w="0" w:type="dxa"/>
            <w:right w:w="108" w:type="dxa"/>
          </w:tblCellMar>
        </w:tblPrEx>
        <w:trPr>
          <w:trHeight w:val="270" w:hRule="atLeast"/>
        </w:trPr>
        <w:tc>
          <w:tcPr>
            <w:tcW w:w="1663"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24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番茄</w:t>
            </w:r>
          </w:p>
        </w:tc>
        <w:tc>
          <w:tcPr>
            <w:tcW w:w="209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0.33</w:t>
            </w:r>
          </w:p>
        </w:tc>
      </w:tr>
      <w:tr>
        <w:tblPrEx>
          <w:tblCellMar>
            <w:top w:w="0" w:type="dxa"/>
            <w:left w:w="108" w:type="dxa"/>
            <w:bottom w:w="0" w:type="dxa"/>
            <w:right w:w="108" w:type="dxa"/>
          </w:tblCellMar>
        </w:tblPrEx>
        <w:trPr>
          <w:trHeight w:val="270" w:hRule="atLeast"/>
        </w:trPr>
        <w:tc>
          <w:tcPr>
            <w:tcW w:w="1663"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24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茄子</w:t>
            </w:r>
          </w:p>
        </w:tc>
        <w:tc>
          <w:tcPr>
            <w:tcW w:w="209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0.34</w:t>
            </w:r>
          </w:p>
        </w:tc>
      </w:tr>
      <w:tr>
        <w:tblPrEx>
          <w:tblCellMar>
            <w:top w:w="0" w:type="dxa"/>
            <w:left w:w="108" w:type="dxa"/>
            <w:bottom w:w="0" w:type="dxa"/>
            <w:right w:w="108" w:type="dxa"/>
          </w:tblCellMar>
        </w:tblPrEx>
        <w:trPr>
          <w:trHeight w:val="270" w:hRule="atLeast"/>
        </w:trPr>
        <w:tc>
          <w:tcPr>
            <w:tcW w:w="1663"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24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大白菜</w:t>
            </w:r>
          </w:p>
        </w:tc>
        <w:tc>
          <w:tcPr>
            <w:tcW w:w="209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0.15</w:t>
            </w:r>
          </w:p>
        </w:tc>
      </w:tr>
      <w:tr>
        <w:tblPrEx>
          <w:tblCellMar>
            <w:top w:w="0" w:type="dxa"/>
            <w:left w:w="108" w:type="dxa"/>
            <w:bottom w:w="0" w:type="dxa"/>
            <w:right w:w="108" w:type="dxa"/>
          </w:tblCellMar>
        </w:tblPrEx>
        <w:trPr>
          <w:trHeight w:val="270" w:hRule="atLeast"/>
        </w:trPr>
        <w:tc>
          <w:tcPr>
            <w:tcW w:w="1663"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24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萝卜</w:t>
            </w:r>
          </w:p>
        </w:tc>
        <w:tc>
          <w:tcPr>
            <w:tcW w:w="209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0.28</w:t>
            </w:r>
          </w:p>
        </w:tc>
      </w:tr>
      <w:tr>
        <w:tblPrEx>
          <w:tblCellMar>
            <w:top w:w="0" w:type="dxa"/>
            <w:left w:w="108" w:type="dxa"/>
            <w:bottom w:w="0" w:type="dxa"/>
            <w:right w:w="108" w:type="dxa"/>
          </w:tblCellMar>
        </w:tblPrEx>
        <w:trPr>
          <w:trHeight w:val="270" w:hRule="atLeast"/>
        </w:trPr>
        <w:tc>
          <w:tcPr>
            <w:tcW w:w="1663"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24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大葱</w:t>
            </w:r>
          </w:p>
        </w:tc>
        <w:tc>
          <w:tcPr>
            <w:tcW w:w="209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0.19</w:t>
            </w:r>
          </w:p>
        </w:tc>
      </w:tr>
      <w:tr>
        <w:tblPrEx>
          <w:tblCellMar>
            <w:top w:w="0" w:type="dxa"/>
            <w:left w:w="108" w:type="dxa"/>
            <w:bottom w:w="0" w:type="dxa"/>
            <w:right w:w="108" w:type="dxa"/>
          </w:tblCellMar>
        </w:tblPrEx>
        <w:trPr>
          <w:trHeight w:val="270" w:hRule="atLeast"/>
        </w:trPr>
        <w:tc>
          <w:tcPr>
            <w:tcW w:w="1663"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24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大蒜</w:t>
            </w:r>
          </w:p>
        </w:tc>
        <w:tc>
          <w:tcPr>
            <w:tcW w:w="209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0.82</w:t>
            </w:r>
          </w:p>
        </w:tc>
      </w:tr>
      <w:tr>
        <w:tblPrEx>
          <w:tblCellMar>
            <w:top w:w="0" w:type="dxa"/>
            <w:left w:w="108" w:type="dxa"/>
            <w:bottom w:w="0" w:type="dxa"/>
            <w:right w:w="108" w:type="dxa"/>
          </w:tblCellMar>
        </w:tblPrEx>
        <w:trPr>
          <w:trHeight w:val="270" w:hRule="atLeast"/>
        </w:trPr>
        <w:tc>
          <w:tcPr>
            <w:tcW w:w="1663"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24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青椒</w:t>
            </w:r>
          </w:p>
        </w:tc>
        <w:tc>
          <w:tcPr>
            <w:tcW w:w="209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0.51</w:t>
            </w:r>
          </w:p>
        </w:tc>
      </w:tr>
      <w:tr>
        <w:tblPrEx>
          <w:tblCellMar>
            <w:top w:w="0" w:type="dxa"/>
            <w:left w:w="108" w:type="dxa"/>
            <w:bottom w:w="0" w:type="dxa"/>
            <w:right w:w="108" w:type="dxa"/>
          </w:tblCellMar>
        </w:tblPrEx>
        <w:trPr>
          <w:trHeight w:val="270" w:hRule="atLeast"/>
        </w:trPr>
        <w:tc>
          <w:tcPr>
            <w:tcW w:w="1663" w:type="pct"/>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果树</w:t>
            </w:r>
          </w:p>
        </w:tc>
        <w:tc>
          <w:tcPr>
            <w:tcW w:w="124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桃</w:t>
            </w:r>
          </w:p>
        </w:tc>
        <w:tc>
          <w:tcPr>
            <w:tcW w:w="209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0.21</w:t>
            </w:r>
          </w:p>
        </w:tc>
      </w:tr>
      <w:tr>
        <w:tblPrEx>
          <w:tblCellMar>
            <w:top w:w="0" w:type="dxa"/>
            <w:left w:w="108" w:type="dxa"/>
            <w:bottom w:w="0" w:type="dxa"/>
            <w:right w:w="108" w:type="dxa"/>
          </w:tblCellMar>
        </w:tblPrEx>
        <w:trPr>
          <w:trHeight w:val="270" w:hRule="atLeast"/>
        </w:trPr>
        <w:tc>
          <w:tcPr>
            <w:tcW w:w="1663"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124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葡萄</w:t>
            </w:r>
          </w:p>
        </w:tc>
        <w:tc>
          <w:tcPr>
            <w:tcW w:w="209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0.74</w:t>
            </w:r>
          </w:p>
        </w:tc>
      </w:tr>
      <w:tr>
        <w:tblPrEx>
          <w:tblCellMar>
            <w:top w:w="0" w:type="dxa"/>
            <w:left w:w="108" w:type="dxa"/>
            <w:bottom w:w="0" w:type="dxa"/>
            <w:right w:w="108" w:type="dxa"/>
          </w:tblCellMar>
        </w:tblPrEx>
        <w:trPr>
          <w:trHeight w:val="270" w:hRule="atLeast"/>
        </w:trPr>
        <w:tc>
          <w:tcPr>
            <w:tcW w:w="1663"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人工草地</w:t>
            </w:r>
          </w:p>
        </w:tc>
        <w:tc>
          <w:tcPr>
            <w:tcW w:w="1241"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苜蓿</w:t>
            </w:r>
          </w:p>
        </w:tc>
        <w:tc>
          <w:tcPr>
            <w:tcW w:w="2096"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0.2</w:t>
            </w:r>
          </w:p>
        </w:tc>
      </w:tr>
    </w:tbl>
    <w:p>
      <w:pPr>
        <w:spacing w:line="560" w:lineRule="exact"/>
        <w:jc w:val="left"/>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kern w:val="0"/>
          <w:sz w:val="32"/>
          <w:szCs w:val="32"/>
          <w:lang w:bidi="ar"/>
        </w:rPr>
        <w:t>注：1.表格中每100kg作物产量氮消耗量数据来源于《畜禽粪便土地承载力测算技术指南》；2.作物总产量数据来源于济宁太白湖新区提供数据；</w:t>
      </w:r>
      <w:r>
        <w:rPr>
          <w:rFonts w:ascii="Times New Roman" w:hAnsi="Times New Roman" w:eastAsia="方正仿宋简体"/>
          <w:color w:val="000000" w:themeColor="text1"/>
          <w:sz w:val="32"/>
          <w:szCs w:val="32"/>
          <w14:textFill>
            <w14:solidFill>
              <w14:schemeClr w14:val="tx1"/>
            </w14:solidFill>
          </w14:textFill>
        </w:rPr>
        <w:t xml:space="preserve"> </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226" w:name="_Toc138888979"/>
      <w:r>
        <w:rPr>
          <w:rFonts w:ascii="Times New Roman" w:hAnsi="Times New Roman" w:eastAsia="方正仿宋简体"/>
          <w:color w:val="000000" w:themeColor="text1"/>
          <w14:textFill>
            <w14:solidFill>
              <w14:schemeClr w14:val="tx1"/>
            </w14:solidFill>
          </w14:textFill>
        </w:rPr>
        <w:t>3.2.2现有猪当量计算</w:t>
      </w:r>
      <w:bookmarkEnd w:id="226"/>
    </w:p>
    <w:p>
      <w:pPr>
        <w:spacing w:line="560" w:lineRule="exact"/>
        <w:ind w:firstLine="48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kern w:val="0"/>
          <w:sz w:val="32"/>
          <w:szCs w:val="32"/>
          <w14:textFill>
            <w14:solidFill>
              <w14:schemeClr w14:val="tx1"/>
            </w14:solidFill>
          </w14:textFill>
        </w:rPr>
        <w:t>根据《畜禽粪便土地承载力测算方法》（NY/T 3877-2021），</w:t>
      </w:r>
      <w:r>
        <w:rPr>
          <w:rFonts w:ascii="Times New Roman" w:hAnsi="Times New Roman" w:eastAsia="方正仿宋简体"/>
          <w:color w:val="000000" w:themeColor="text1"/>
          <w:sz w:val="32"/>
          <w:szCs w:val="32"/>
          <w14:textFill>
            <w14:solidFill>
              <w14:schemeClr w14:val="tx1"/>
            </w14:solidFill>
          </w14:textFill>
        </w:rPr>
        <w:t>现有猪当量计算公式如下：</w:t>
      </w:r>
    </w:p>
    <w:p>
      <w:pPr>
        <w:spacing w:line="360" w:lineRule="auto"/>
        <w:ind w:firstLine="482"/>
        <w:rPr>
          <w:rFonts w:ascii="Times New Roman" w:hAnsi="Times New Roman" w:eastAsia="方正仿宋简体"/>
          <w:color w:val="000000" w:themeColor="text1"/>
          <w:sz w:val="32"/>
          <w:szCs w:val="32"/>
          <w14:textFill>
            <w14:solidFill>
              <w14:schemeClr w14:val="tx1"/>
            </w14:solidFill>
          </w14:textFill>
        </w:rPr>
      </w:pPr>
      <m:oMathPara>
        <m:oMath>
          <m:r>
            <m:rPr>
              <m:sty m:val="p"/>
            </m:rPr>
            <w:rPr>
              <w:rFonts w:ascii="Cambria Math" w:hAnsi="Cambria Math" w:eastAsia="方正仿宋简体"/>
              <w:color w:val="000000" w:themeColor="text1"/>
              <w:sz w:val="32"/>
              <w:szCs w:val="32"/>
              <w14:textFill>
                <w14:solidFill>
                  <w14:schemeClr w14:val="tx1"/>
                </w14:solidFill>
              </w14:textFill>
            </w:rPr>
            <m:t>A</m:t>
          </m:r>
          <m:r>
            <m:rPr/>
            <w:rPr>
              <w:rFonts w:ascii="Cambria Math" w:hAnsi="Cambria Math" w:eastAsia="方正仿宋简体"/>
              <w:color w:val="000000" w:themeColor="text1"/>
              <w:sz w:val="32"/>
              <w:szCs w:val="32"/>
              <w14:textFill>
                <w14:solidFill>
                  <w14:schemeClr w14:val="tx1"/>
                </w14:solidFill>
              </w14:textFill>
            </w:rPr>
            <m:t>=</m:t>
          </m:r>
          <m:nary>
            <m:naryPr>
              <m:chr m:val="∑"/>
              <m:grow m:val="1"/>
              <m:ctrlPr>
                <w:rPr>
                  <w:rFonts w:ascii="Cambria Math" w:hAnsi="Cambria Math" w:eastAsia="方正仿宋简体"/>
                  <w:color w:val="000000" w:themeColor="text1"/>
                  <w:sz w:val="32"/>
                  <w:szCs w:val="32"/>
                  <w14:textFill>
                    <w14:solidFill>
                      <w14:schemeClr w14:val="tx1"/>
                    </w14:solidFill>
                  </w14:textFill>
                </w:rPr>
              </m:ctrlPr>
            </m:naryPr>
            <m:sub>
              <m:r>
                <m:rPr/>
                <w:rPr>
                  <w:rFonts w:ascii="Cambria Math" w:hAnsi="Cambria Math" w:eastAsia="方正仿宋简体"/>
                  <w:color w:val="000000" w:themeColor="text1"/>
                  <w:sz w:val="32"/>
                  <w:szCs w:val="32"/>
                  <w14:textFill>
                    <w14:solidFill>
                      <w14:schemeClr w14:val="tx1"/>
                    </w14:solidFill>
                  </w14:textFill>
                </w:rPr>
                <m:t xml:space="preserve"> </m:t>
              </m:r>
              <m:ctrlPr>
                <w:rPr>
                  <w:rFonts w:ascii="Cambria Math" w:hAnsi="Cambria Math" w:eastAsia="方正仿宋简体"/>
                  <w:color w:val="000000" w:themeColor="text1"/>
                  <w:sz w:val="32"/>
                  <w:szCs w:val="32"/>
                  <w14:textFill>
                    <w14:solidFill>
                      <w14:schemeClr w14:val="tx1"/>
                    </w14:solidFill>
                  </w14:textFill>
                </w:rPr>
              </m:ctrlPr>
            </m:sub>
            <m:sup>
              <m:r>
                <m:rPr/>
                <w:rPr>
                  <w:rFonts w:ascii="Cambria Math" w:hAnsi="Cambria Math" w:eastAsia="方正仿宋简体"/>
                  <w:color w:val="000000" w:themeColor="text1"/>
                  <w:sz w:val="32"/>
                  <w:szCs w:val="32"/>
                  <w14:textFill>
                    <w14:solidFill>
                      <w14:schemeClr w14:val="tx1"/>
                    </w14:solidFill>
                  </w14:textFill>
                </w:rPr>
                <m:t xml:space="preserve"> </m:t>
              </m:r>
              <m:ctrlPr>
                <w:rPr>
                  <w:rFonts w:ascii="Cambria Math" w:hAnsi="Cambria Math" w:eastAsia="方正仿宋简体"/>
                  <w:color w:val="000000" w:themeColor="text1"/>
                  <w:sz w:val="32"/>
                  <w:szCs w:val="32"/>
                  <w14:textFill>
                    <w14:solidFill>
                      <w14:schemeClr w14:val="tx1"/>
                    </w14:solidFill>
                  </w14:textFill>
                </w:rPr>
              </m:ctrlPr>
            </m:sup>
            <m:e>
              <m:sSub>
                <m:sSubPr>
                  <m:ctrlPr>
                    <w:rPr>
                      <w:rFonts w:ascii="Cambria Math" w:hAnsi="Cambria Math" w:eastAsia="方正仿宋简体"/>
                      <w:color w:val="000000" w:themeColor="text1"/>
                      <w:sz w:val="32"/>
                      <w:szCs w:val="32"/>
                      <w14:textFill>
                        <w14:solidFill>
                          <w14:schemeClr w14:val="tx1"/>
                        </w14:solidFill>
                      </w14:textFill>
                    </w:rPr>
                  </m:ctrlPr>
                </m:sSubPr>
                <m:e>
                  <m:r>
                    <m:rPr/>
                    <w:rPr>
                      <w:rFonts w:ascii="Cambria Math" w:hAnsi="Cambria Math" w:eastAsia="方正仿宋简体"/>
                      <w:color w:val="000000" w:themeColor="text1"/>
                      <w:sz w:val="32"/>
                      <w:szCs w:val="32"/>
                      <w14:textFill>
                        <w14:solidFill>
                          <w14:schemeClr w14:val="tx1"/>
                        </w14:solidFill>
                      </w14:textFill>
                    </w:rPr>
                    <m:t>AP</m:t>
                  </m:r>
                  <m:ctrlPr>
                    <w:rPr>
                      <w:rFonts w:ascii="Cambria Math" w:hAnsi="Cambria Math" w:eastAsia="方正仿宋简体"/>
                      <w:color w:val="000000" w:themeColor="text1"/>
                      <w:sz w:val="32"/>
                      <w:szCs w:val="32"/>
                      <w14:textFill>
                        <w14:solidFill>
                          <w14:schemeClr w14:val="tx1"/>
                        </w14:solidFill>
                      </w14:textFill>
                    </w:rPr>
                  </m:ctrlPr>
                </m:e>
                <m:sub>
                  <m:r>
                    <m:rPr/>
                    <w:rPr>
                      <w:rFonts w:ascii="Cambria Math" w:hAnsi="Cambria Math" w:eastAsia="方正仿宋简体"/>
                      <w:color w:val="000000" w:themeColor="text1"/>
                      <w:sz w:val="32"/>
                      <w:szCs w:val="32"/>
                      <w14:textFill>
                        <w14:solidFill>
                          <w14:schemeClr w14:val="tx1"/>
                        </w14:solidFill>
                      </w14:textFill>
                    </w:rPr>
                    <m:t>r</m:t>
                  </m:r>
                  <m:r>
                    <m:rPr/>
                    <w:rPr>
                      <w:rFonts w:ascii="Cambria Math" w:hAnsi="Cambria Math" w:eastAsia="MS Mincho"/>
                      <w:color w:val="000000" w:themeColor="text1"/>
                      <w:sz w:val="32"/>
                      <w:szCs w:val="32"/>
                      <w14:textFill>
                        <w14:solidFill>
                          <w14:schemeClr w14:val="tx1"/>
                        </w14:solidFill>
                      </w14:textFill>
                    </w:rPr>
                    <m:t>−</m:t>
                  </m:r>
                  <m:r>
                    <m:rPr/>
                    <w:rPr>
                      <w:rFonts w:ascii="Cambria Math" w:hAnsi="Cambria Math" w:eastAsia="方正仿宋简体"/>
                      <w:color w:val="000000" w:themeColor="text1"/>
                      <w:sz w:val="32"/>
                      <w:szCs w:val="32"/>
                      <w14:textFill>
                        <w14:solidFill>
                          <w14:schemeClr w14:val="tx1"/>
                        </w14:solidFill>
                      </w14:textFill>
                    </w:rPr>
                    <m:t>i</m:t>
                  </m:r>
                  <m:ctrlPr>
                    <w:rPr>
                      <w:rFonts w:ascii="Cambria Math" w:hAnsi="Cambria Math" w:eastAsia="方正仿宋简体"/>
                      <w:color w:val="000000" w:themeColor="text1"/>
                      <w:sz w:val="32"/>
                      <w:szCs w:val="32"/>
                      <w14:textFill>
                        <w14:solidFill>
                          <w14:schemeClr w14:val="tx1"/>
                        </w14:solidFill>
                      </w14:textFill>
                    </w:rPr>
                  </m:ctrlPr>
                </m:sub>
              </m:sSub>
              <m:r>
                <m:rPr/>
                <w:rPr>
                  <w:rFonts w:ascii="Cambria Math" w:hAnsi="Cambria Math" w:eastAsia="方正仿宋简体"/>
                  <w:color w:val="000000" w:themeColor="text1"/>
                  <w:sz w:val="32"/>
                  <w:szCs w:val="32"/>
                  <w14:textFill>
                    <w14:solidFill>
                      <w14:schemeClr w14:val="tx1"/>
                    </w14:solidFill>
                  </w14:textFill>
                </w:rPr>
                <m:t>×</m:t>
              </m:r>
              <m:sSub>
                <m:sSubPr>
                  <m:ctrlPr>
                    <w:rPr>
                      <w:rFonts w:ascii="Cambria Math" w:hAnsi="Cambria Math" w:eastAsia="方正仿宋简体"/>
                      <w:color w:val="000000" w:themeColor="text1"/>
                      <w:sz w:val="32"/>
                      <w:szCs w:val="32"/>
                      <w14:textFill>
                        <w14:solidFill>
                          <w14:schemeClr w14:val="tx1"/>
                        </w14:solidFill>
                      </w14:textFill>
                    </w:rPr>
                  </m:ctrlPr>
                </m:sSubPr>
                <m:e>
                  <m:r>
                    <m:rPr/>
                    <w:rPr>
                      <w:rFonts w:ascii="Cambria Math" w:hAnsi="Cambria Math" w:eastAsia="方正仿宋简体"/>
                      <w:color w:val="000000" w:themeColor="text1"/>
                      <w:sz w:val="32"/>
                      <w:szCs w:val="32"/>
                      <w14:textFill>
                        <w14:solidFill>
                          <w14:schemeClr w14:val="tx1"/>
                        </w14:solidFill>
                      </w14:textFill>
                    </w:rPr>
                    <m:t>MP</m:t>
                  </m:r>
                  <m:ctrlPr>
                    <w:rPr>
                      <w:rFonts w:ascii="Cambria Math" w:hAnsi="Cambria Math" w:eastAsia="方正仿宋简体"/>
                      <w:color w:val="000000" w:themeColor="text1"/>
                      <w:sz w:val="32"/>
                      <w:szCs w:val="32"/>
                      <w14:textFill>
                        <w14:solidFill>
                          <w14:schemeClr w14:val="tx1"/>
                        </w14:solidFill>
                      </w14:textFill>
                    </w:rPr>
                  </m:ctrlPr>
                </m:e>
                <m:sub>
                  <m:r>
                    <m:rPr/>
                    <w:rPr>
                      <w:rFonts w:ascii="Cambria Math" w:hAnsi="Cambria Math" w:eastAsia="方正仿宋简体"/>
                      <w:color w:val="000000" w:themeColor="text1"/>
                      <w:sz w:val="32"/>
                      <w:szCs w:val="32"/>
                      <w14:textFill>
                        <w14:solidFill>
                          <w14:schemeClr w14:val="tx1"/>
                        </w14:solidFill>
                      </w14:textFill>
                    </w:rPr>
                    <m:t>r</m:t>
                  </m:r>
                  <m:r>
                    <m:rPr/>
                    <w:rPr>
                      <w:rFonts w:ascii="Cambria Math" w:hAnsi="Cambria Math" w:eastAsia="MS Mincho"/>
                      <w:color w:val="000000" w:themeColor="text1"/>
                      <w:sz w:val="32"/>
                      <w:szCs w:val="32"/>
                      <w14:textFill>
                        <w14:solidFill>
                          <w14:schemeClr w14:val="tx1"/>
                        </w14:solidFill>
                      </w14:textFill>
                    </w:rPr>
                    <m:t>−</m:t>
                  </m:r>
                  <m:r>
                    <m:rPr/>
                    <w:rPr>
                      <w:rFonts w:ascii="Cambria Math" w:hAnsi="Cambria Math" w:eastAsia="方正仿宋简体"/>
                      <w:color w:val="000000" w:themeColor="text1"/>
                      <w:sz w:val="32"/>
                      <w:szCs w:val="32"/>
                      <w14:textFill>
                        <w14:solidFill>
                          <w14:schemeClr w14:val="tx1"/>
                        </w14:solidFill>
                      </w14:textFill>
                    </w:rPr>
                    <m:t>i</m:t>
                  </m:r>
                  <m:ctrlPr>
                    <w:rPr>
                      <w:rFonts w:ascii="Cambria Math" w:hAnsi="Cambria Math" w:eastAsia="方正仿宋简体"/>
                      <w:color w:val="000000" w:themeColor="text1"/>
                      <w:sz w:val="32"/>
                      <w:szCs w:val="32"/>
                      <w14:textFill>
                        <w14:solidFill>
                          <w14:schemeClr w14:val="tx1"/>
                        </w14:solidFill>
                      </w14:textFill>
                    </w:rPr>
                  </m:ctrlPr>
                </m:sub>
              </m:sSub>
              <m:r>
                <m:rPr/>
                <w:rPr>
                  <w:rFonts w:ascii="Cambria Math" w:hAnsi="Cambria Math" w:eastAsia="方正仿宋简体"/>
                  <w:color w:val="000000" w:themeColor="text1"/>
                  <w:sz w:val="32"/>
                  <w:szCs w:val="32"/>
                  <w14:textFill>
                    <w14:solidFill>
                      <w14:schemeClr w14:val="tx1"/>
                    </w14:solidFill>
                  </w14:textFill>
                </w:rPr>
                <m:t>÷</m:t>
              </m:r>
              <m:sSub>
                <m:sSubPr>
                  <m:ctrlPr>
                    <w:rPr>
                      <w:rFonts w:ascii="Cambria Math" w:hAnsi="Cambria Math" w:eastAsia="方正仿宋简体"/>
                      <w:color w:val="000000" w:themeColor="text1"/>
                      <w:sz w:val="32"/>
                      <w:szCs w:val="32"/>
                      <w14:textFill>
                        <w14:solidFill>
                          <w14:schemeClr w14:val="tx1"/>
                        </w14:solidFill>
                      </w14:textFill>
                    </w:rPr>
                  </m:ctrlPr>
                </m:sSubPr>
                <m:e>
                  <m:r>
                    <m:rPr/>
                    <w:rPr>
                      <w:rFonts w:ascii="Cambria Math" w:hAnsi="Cambria Math" w:eastAsia="方正仿宋简体"/>
                      <w:color w:val="000000" w:themeColor="text1"/>
                      <w:sz w:val="32"/>
                      <w:szCs w:val="32"/>
                      <w14:textFill>
                        <w14:solidFill>
                          <w14:schemeClr w14:val="tx1"/>
                        </w14:solidFill>
                      </w14:textFill>
                    </w:rPr>
                    <m:t>MP</m:t>
                  </m:r>
                  <m:ctrlPr>
                    <w:rPr>
                      <w:rFonts w:ascii="Cambria Math" w:hAnsi="Cambria Math" w:eastAsia="方正仿宋简体"/>
                      <w:color w:val="000000" w:themeColor="text1"/>
                      <w:sz w:val="32"/>
                      <w:szCs w:val="32"/>
                      <w14:textFill>
                        <w14:solidFill>
                          <w14:schemeClr w14:val="tx1"/>
                        </w14:solidFill>
                      </w14:textFill>
                    </w:rPr>
                  </m:ctrlPr>
                </m:e>
                <m:sub>
                  <m:r>
                    <m:rPr/>
                    <w:rPr>
                      <w:rFonts w:ascii="Cambria Math" w:hAnsi="Cambria Math" w:eastAsia="方正仿宋简体"/>
                      <w:color w:val="000000" w:themeColor="text1"/>
                      <w:sz w:val="32"/>
                      <w:szCs w:val="32"/>
                      <w14:textFill>
                        <w14:solidFill>
                          <w14:schemeClr w14:val="tx1"/>
                        </w14:solidFill>
                      </w14:textFill>
                    </w:rPr>
                    <m:t>P</m:t>
                  </m:r>
                  <m:ctrlPr>
                    <w:rPr>
                      <w:rFonts w:ascii="Cambria Math" w:hAnsi="Cambria Math" w:eastAsia="方正仿宋简体"/>
                      <w:color w:val="000000" w:themeColor="text1"/>
                      <w:sz w:val="32"/>
                      <w:szCs w:val="32"/>
                      <w14:textFill>
                        <w14:solidFill>
                          <w14:schemeClr w14:val="tx1"/>
                        </w14:solidFill>
                      </w14:textFill>
                    </w:rPr>
                  </m:ctrlPr>
                </m:sub>
              </m:sSub>
              <m:ctrlPr>
                <w:rPr>
                  <w:rFonts w:ascii="Cambria Math" w:hAnsi="Cambria Math" w:eastAsia="方正仿宋简体"/>
                  <w:color w:val="000000" w:themeColor="text1"/>
                  <w:sz w:val="32"/>
                  <w:szCs w:val="32"/>
                  <w14:textFill>
                    <w14:solidFill>
                      <w14:schemeClr w14:val="tx1"/>
                    </w14:solidFill>
                  </w14:textFill>
                </w:rPr>
              </m:ctrlPr>
            </m:e>
          </m:nary>
        </m:oMath>
      </m:oMathPara>
    </w:p>
    <w:p>
      <w:pPr>
        <w:spacing w:line="560" w:lineRule="exact"/>
        <w:ind w:firstLine="48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式中：</w:t>
      </w:r>
    </w:p>
    <w:p>
      <w:pPr>
        <w:spacing w:line="560" w:lineRule="exact"/>
        <w:ind w:firstLine="48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A——区域内饲养的各中畜禽折算猪当量，单位为猪当量；</w:t>
      </w:r>
    </w:p>
    <w:p>
      <w:pPr>
        <w:spacing w:line="560" w:lineRule="exact"/>
        <w:ind w:firstLine="48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AP</w:t>
      </w:r>
      <w:r>
        <w:rPr>
          <w:rFonts w:ascii="Times New Roman" w:hAnsi="Times New Roman" w:eastAsia="方正仿宋简体"/>
          <w:color w:val="000000" w:themeColor="text1"/>
          <w:sz w:val="32"/>
          <w:szCs w:val="32"/>
          <w:vertAlign w:val="subscript"/>
          <w14:textFill>
            <w14:solidFill>
              <w14:schemeClr w14:val="tx1"/>
            </w14:solidFill>
          </w14:textFill>
        </w:rPr>
        <w:t>r-i</w:t>
      </w:r>
      <w:r>
        <w:rPr>
          <w:rFonts w:ascii="Times New Roman" w:hAnsi="Times New Roman" w:eastAsia="方正仿宋简体"/>
          <w:color w:val="000000" w:themeColor="text1"/>
          <w:sz w:val="32"/>
          <w:szCs w:val="32"/>
          <w14:textFill>
            <w14:solidFill>
              <w14:schemeClr w14:val="tx1"/>
            </w14:solidFill>
          </w14:textFill>
        </w:rPr>
        <w:t>——区域内第i中畜禽年存栏量的数值，单位为头或只或羽；</w:t>
      </w:r>
    </w:p>
    <w:p>
      <w:pPr>
        <w:spacing w:line="560" w:lineRule="exact"/>
        <w:ind w:firstLine="48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MP</w:t>
      </w:r>
      <w:r>
        <w:rPr>
          <w:rFonts w:ascii="Times New Roman" w:hAnsi="Times New Roman" w:eastAsia="方正仿宋简体"/>
          <w:color w:val="000000" w:themeColor="text1"/>
          <w:sz w:val="32"/>
          <w:szCs w:val="32"/>
          <w:vertAlign w:val="subscript"/>
          <w14:textFill>
            <w14:solidFill>
              <w14:schemeClr w14:val="tx1"/>
            </w14:solidFill>
          </w14:textFill>
        </w:rPr>
        <w:t>r-i</w:t>
      </w:r>
      <w:r>
        <w:rPr>
          <w:rFonts w:ascii="Times New Roman" w:hAnsi="Times New Roman" w:eastAsia="方正仿宋简体"/>
          <w:color w:val="000000" w:themeColor="text1"/>
          <w:sz w:val="32"/>
          <w:szCs w:val="32"/>
          <w14:textFill>
            <w14:solidFill>
              <w14:schemeClr w14:val="tx1"/>
            </w14:solidFill>
          </w14:textFill>
        </w:rPr>
        <w:t>——区域内第i中畜禽粪便中日排泄量的数值，单位为g/（d</w:t>
      </w:r>
      <w:r>
        <w:rPr>
          <w:rFonts w:ascii="Times New Roman" w:hAnsi="Times New Roman" w:eastAsia="方正仿宋简体"/>
          <w:color w:val="000000" w:themeColor="text1"/>
          <w:sz w:val="32"/>
          <w:szCs w:val="32"/>
          <w:vertAlign w:val="superscript"/>
          <w14:textFill>
            <w14:solidFill>
              <w14:schemeClr w14:val="tx1"/>
            </w14:solidFill>
          </w14:textFill>
        </w:rPr>
        <w:t>.</w:t>
      </w:r>
      <w:r>
        <w:rPr>
          <w:rFonts w:ascii="Times New Roman" w:hAnsi="Times New Roman" w:eastAsia="方正仿宋简体"/>
          <w:color w:val="000000" w:themeColor="text1"/>
          <w:sz w:val="32"/>
          <w:szCs w:val="32"/>
          <w14:textFill>
            <w14:solidFill>
              <w14:schemeClr w14:val="tx1"/>
            </w14:solidFill>
          </w14:textFill>
        </w:rPr>
        <w:t>头）；</w:t>
      </w:r>
    </w:p>
    <w:p>
      <w:pPr>
        <w:spacing w:line="560" w:lineRule="exact"/>
        <w:ind w:firstLine="48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MP</w:t>
      </w:r>
      <w:r>
        <w:rPr>
          <w:rFonts w:ascii="Times New Roman" w:hAnsi="Times New Roman" w:eastAsia="方正仿宋简体"/>
          <w:color w:val="000000" w:themeColor="text1"/>
          <w:sz w:val="32"/>
          <w:szCs w:val="32"/>
          <w:vertAlign w:val="subscript"/>
          <w14:textFill>
            <w14:solidFill>
              <w14:schemeClr w14:val="tx1"/>
            </w14:solidFill>
          </w14:textFill>
        </w:rPr>
        <w:t>p</w:t>
      </w:r>
      <w:r>
        <w:rPr>
          <w:rFonts w:ascii="Times New Roman" w:hAnsi="Times New Roman" w:eastAsia="方正仿宋简体"/>
          <w:color w:val="000000" w:themeColor="text1"/>
          <w:sz w:val="32"/>
          <w:szCs w:val="32"/>
          <w14:textFill>
            <w14:solidFill>
              <w14:schemeClr w14:val="tx1"/>
            </w14:solidFill>
          </w14:textFill>
        </w:rPr>
        <w:t>——猪排泄粪便中氮的日产生量的数值，单位为g/（d</w:t>
      </w:r>
      <w:r>
        <w:rPr>
          <w:rFonts w:ascii="Times New Roman" w:hAnsi="Times New Roman" w:eastAsia="方正仿宋简体"/>
          <w:color w:val="000000" w:themeColor="text1"/>
          <w:sz w:val="32"/>
          <w:szCs w:val="32"/>
          <w:vertAlign w:val="superscript"/>
          <w14:textFill>
            <w14:solidFill>
              <w14:schemeClr w14:val="tx1"/>
            </w14:solidFill>
          </w14:textFill>
        </w:rPr>
        <w:t>.</w:t>
      </w:r>
      <w:r>
        <w:rPr>
          <w:rFonts w:ascii="Times New Roman" w:hAnsi="Times New Roman" w:eastAsia="方正仿宋简体"/>
          <w:color w:val="000000" w:themeColor="text1"/>
          <w:sz w:val="32"/>
          <w:szCs w:val="32"/>
          <w14:textFill>
            <w14:solidFill>
              <w14:schemeClr w14:val="tx1"/>
            </w14:solidFill>
          </w14:textFill>
        </w:rPr>
        <w:t>头）。</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经核算，2021年济宁太白湖新区畜禽养殖存栏量猪当量为78098.8头，均在石桥镇。济宁太白湖新区各镇街养殖情况统计见表3.2-2。</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表3.2-2 济宁太白湖新区各镇街养殖情况猪当量统计表</w:t>
      </w:r>
    </w:p>
    <w:tbl>
      <w:tblPr>
        <w:tblStyle w:val="27"/>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304"/>
        <w:gridCol w:w="1304"/>
        <w:gridCol w:w="1304"/>
        <w:gridCol w:w="1304"/>
        <w:gridCol w:w="1304"/>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60" w:type="dxa"/>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序号</w:t>
            </w:r>
          </w:p>
        </w:tc>
        <w:tc>
          <w:tcPr>
            <w:tcW w:w="1304"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镇街</w:t>
            </w:r>
          </w:p>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名称</w:t>
            </w:r>
          </w:p>
        </w:tc>
        <w:tc>
          <w:tcPr>
            <w:tcW w:w="1304"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生猪折算猪当量</w:t>
            </w:r>
          </w:p>
        </w:tc>
        <w:tc>
          <w:tcPr>
            <w:tcW w:w="1304"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牛折算</w:t>
            </w:r>
          </w:p>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猪当量</w:t>
            </w:r>
          </w:p>
        </w:tc>
        <w:tc>
          <w:tcPr>
            <w:tcW w:w="1304"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羊折算</w:t>
            </w:r>
          </w:p>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猪当量</w:t>
            </w:r>
          </w:p>
        </w:tc>
        <w:tc>
          <w:tcPr>
            <w:tcW w:w="1304"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禽类折算猪当量</w:t>
            </w:r>
          </w:p>
        </w:tc>
        <w:tc>
          <w:tcPr>
            <w:tcW w:w="1417"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猪当量折算量（猪当量）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vAlign w:val="center"/>
          </w:tcPr>
          <w:p>
            <w:pPr>
              <w:snapToGrid w:val="0"/>
              <w:jc w:val="center"/>
              <w:rPr>
                <w:rFonts w:ascii="Times New Roman" w:hAnsi="Times New Roman" w:eastAsia="方正仿宋简体"/>
                <w:color w:val="000000" w:themeColor="text1"/>
                <w:sz w:val="28"/>
                <w:szCs w:val="28"/>
                <w14:textFill>
                  <w14:solidFill>
                    <w14:schemeClr w14:val="tx1"/>
                  </w14:solidFill>
                </w14:textFill>
              </w:rPr>
            </w:pPr>
            <w:r>
              <w:rPr>
                <w:rFonts w:ascii="Times New Roman" w:hAnsi="Times New Roman" w:eastAsia="方正仿宋简体"/>
                <w:color w:val="000000" w:themeColor="text1"/>
                <w:sz w:val="28"/>
                <w:szCs w:val="28"/>
                <w14:textFill>
                  <w14:solidFill>
                    <w14:schemeClr w14:val="tx1"/>
                  </w14:solidFill>
                </w14:textFill>
              </w:rPr>
              <w:t>1</w:t>
            </w:r>
          </w:p>
        </w:tc>
        <w:tc>
          <w:tcPr>
            <w:tcW w:w="1304" w:type="dxa"/>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许庄</w:t>
            </w:r>
          </w:p>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街道</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w:t>
            </w:r>
          </w:p>
        </w:tc>
        <w:tc>
          <w:tcPr>
            <w:tcW w:w="1417"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vAlign w:val="center"/>
          </w:tcPr>
          <w:p>
            <w:pPr>
              <w:snapToGrid w:val="0"/>
              <w:jc w:val="center"/>
              <w:rPr>
                <w:rFonts w:ascii="Times New Roman" w:hAnsi="Times New Roman" w:eastAsia="方正仿宋简体"/>
                <w:color w:val="000000" w:themeColor="text1"/>
                <w:sz w:val="28"/>
                <w:szCs w:val="28"/>
                <w14:textFill>
                  <w14:solidFill>
                    <w14:schemeClr w14:val="tx1"/>
                  </w14:solidFill>
                </w14:textFill>
              </w:rPr>
            </w:pPr>
            <w:r>
              <w:rPr>
                <w:rFonts w:ascii="Times New Roman" w:hAnsi="Times New Roman" w:eastAsia="方正仿宋简体"/>
                <w:color w:val="000000" w:themeColor="text1"/>
                <w:sz w:val="28"/>
                <w:szCs w:val="28"/>
                <w14:textFill>
                  <w14:solidFill>
                    <w14:schemeClr w14:val="tx1"/>
                  </w14:solidFill>
                </w14:textFill>
              </w:rPr>
              <w:t>2</w:t>
            </w:r>
          </w:p>
        </w:tc>
        <w:tc>
          <w:tcPr>
            <w:tcW w:w="1304" w:type="dxa"/>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石桥镇</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44016</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20500</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322.8</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13260</w:t>
            </w:r>
          </w:p>
        </w:tc>
        <w:tc>
          <w:tcPr>
            <w:tcW w:w="1417"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78098.8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gridSpan w:val="2"/>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合计</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44016</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20500</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322.8</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13260</w:t>
            </w:r>
          </w:p>
        </w:tc>
        <w:tc>
          <w:tcPr>
            <w:tcW w:w="1417"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78098.8</w:t>
            </w:r>
          </w:p>
        </w:tc>
      </w:tr>
    </w:tbl>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227" w:name="_Toc138888980"/>
      <w:r>
        <w:rPr>
          <w:rFonts w:ascii="Times New Roman" w:hAnsi="Times New Roman" w:eastAsia="方正仿宋简体"/>
          <w:color w:val="000000" w:themeColor="text1"/>
          <w14:textFill>
            <w14:solidFill>
              <w14:schemeClr w14:val="tx1"/>
            </w14:solidFill>
          </w14:textFill>
        </w:rPr>
        <w:t>3.2.3畜禽粪便土地承载力</w:t>
      </w:r>
      <w:bookmarkEnd w:id="227"/>
    </w:p>
    <w:p>
      <w:pPr>
        <w:spacing w:line="560" w:lineRule="exact"/>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表3.2-3 太白湖新区主要作物总需氮量</w:t>
      </w:r>
    </w:p>
    <w:tbl>
      <w:tblPr>
        <w:tblStyle w:val="27"/>
        <w:tblW w:w="5000" w:type="pct"/>
        <w:tblInd w:w="0" w:type="dxa"/>
        <w:tblLayout w:type="autofit"/>
        <w:tblCellMar>
          <w:top w:w="0" w:type="dxa"/>
          <w:left w:w="108" w:type="dxa"/>
          <w:bottom w:w="0" w:type="dxa"/>
          <w:right w:w="108" w:type="dxa"/>
        </w:tblCellMar>
      </w:tblPr>
      <w:tblGrid>
        <w:gridCol w:w="1770"/>
        <w:gridCol w:w="1320"/>
        <w:gridCol w:w="2231"/>
        <w:gridCol w:w="1787"/>
        <w:gridCol w:w="1838"/>
      </w:tblGrid>
      <w:tr>
        <w:tblPrEx>
          <w:tblCellMar>
            <w:top w:w="0" w:type="dxa"/>
            <w:left w:w="108" w:type="dxa"/>
            <w:bottom w:w="0" w:type="dxa"/>
            <w:right w:w="108" w:type="dxa"/>
          </w:tblCellMar>
        </w:tblPrEx>
        <w:trPr>
          <w:trHeight w:val="1050" w:hRule="atLeast"/>
        </w:trPr>
        <w:tc>
          <w:tcPr>
            <w:tcW w:w="172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作物种类</w:t>
            </w:r>
          </w:p>
        </w:tc>
        <w:tc>
          <w:tcPr>
            <w:tcW w:w="1247"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100kg作物产量氮消耗量（kg）</w:t>
            </w:r>
          </w:p>
        </w:tc>
        <w:tc>
          <w:tcPr>
            <w:tcW w:w="999"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2021年产量（t）</w:t>
            </w:r>
          </w:p>
        </w:tc>
        <w:tc>
          <w:tcPr>
            <w:tcW w:w="1027"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bCs/>
                <w:color w:val="000000"/>
                <w:kern w:val="0"/>
                <w:sz w:val="28"/>
                <w:szCs w:val="28"/>
              </w:rPr>
            </w:pPr>
            <w:r>
              <w:rPr>
                <w:rFonts w:ascii="Times New Roman" w:hAnsi="Times New Roman" w:eastAsia="方正仿宋简体"/>
                <w:b/>
                <w:bCs/>
                <w:color w:val="000000"/>
                <w:kern w:val="0"/>
                <w:sz w:val="28"/>
                <w:szCs w:val="28"/>
              </w:rPr>
              <w:t>需氮量（</w:t>
            </w:r>
            <w:r>
              <w:rPr>
                <w:rFonts w:ascii="Times New Roman" w:hAnsi="Times New Roman" w:eastAsia="方正仿宋简体"/>
                <w:b/>
                <w:color w:val="000000" w:themeColor="text1"/>
                <w:kern w:val="0"/>
                <w:sz w:val="28"/>
                <w:szCs w:val="28"/>
                <w14:textFill>
                  <w14:solidFill>
                    <w14:schemeClr w14:val="tx1"/>
                  </w14:solidFill>
                </w14:textFill>
              </w:rPr>
              <w:t>t/a</w:t>
            </w:r>
            <w:r>
              <w:rPr>
                <w:rFonts w:ascii="Times New Roman" w:hAnsi="Times New Roman" w:eastAsia="方正仿宋简体"/>
                <w:b/>
                <w:bCs/>
                <w:color w:val="000000"/>
                <w:kern w:val="0"/>
                <w:sz w:val="28"/>
                <w:szCs w:val="28"/>
              </w:rPr>
              <w:t>）</w:t>
            </w:r>
          </w:p>
        </w:tc>
      </w:tr>
      <w:tr>
        <w:tblPrEx>
          <w:tblCellMar>
            <w:top w:w="0" w:type="dxa"/>
            <w:left w:w="108" w:type="dxa"/>
            <w:bottom w:w="0" w:type="dxa"/>
            <w:right w:w="108" w:type="dxa"/>
          </w:tblCellMar>
        </w:tblPrEx>
        <w:trPr>
          <w:trHeight w:val="270" w:hRule="atLeast"/>
        </w:trPr>
        <w:tc>
          <w:tcPr>
            <w:tcW w:w="989" w:type="pct"/>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大田作物</w:t>
            </w:r>
          </w:p>
        </w:tc>
        <w:tc>
          <w:tcPr>
            <w:tcW w:w="73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小麦</w:t>
            </w:r>
          </w:p>
        </w:tc>
        <w:tc>
          <w:tcPr>
            <w:tcW w:w="124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3</w:t>
            </w:r>
          </w:p>
        </w:tc>
        <w:tc>
          <w:tcPr>
            <w:tcW w:w="99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40727.83</w:t>
            </w:r>
          </w:p>
        </w:tc>
        <w:tc>
          <w:tcPr>
            <w:tcW w:w="102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1221.8349</w:t>
            </w:r>
          </w:p>
        </w:tc>
      </w:tr>
      <w:tr>
        <w:tblPrEx>
          <w:tblCellMar>
            <w:top w:w="0" w:type="dxa"/>
            <w:left w:w="108" w:type="dxa"/>
            <w:bottom w:w="0" w:type="dxa"/>
            <w:right w:w="108" w:type="dxa"/>
          </w:tblCellMar>
        </w:tblPrEx>
        <w:trPr>
          <w:trHeight w:val="270" w:hRule="atLeast"/>
        </w:trPr>
        <w:tc>
          <w:tcPr>
            <w:tcW w:w="989"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73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玉米</w:t>
            </w:r>
          </w:p>
        </w:tc>
        <w:tc>
          <w:tcPr>
            <w:tcW w:w="124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2.3</w:t>
            </w:r>
          </w:p>
        </w:tc>
        <w:tc>
          <w:tcPr>
            <w:tcW w:w="99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18418.83</w:t>
            </w:r>
          </w:p>
        </w:tc>
        <w:tc>
          <w:tcPr>
            <w:tcW w:w="102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423.63309</w:t>
            </w:r>
          </w:p>
        </w:tc>
      </w:tr>
      <w:tr>
        <w:tblPrEx>
          <w:tblCellMar>
            <w:top w:w="0" w:type="dxa"/>
            <w:left w:w="108" w:type="dxa"/>
            <w:bottom w:w="0" w:type="dxa"/>
            <w:right w:w="108" w:type="dxa"/>
          </w:tblCellMar>
        </w:tblPrEx>
        <w:trPr>
          <w:trHeight w:val="270" w:hRule="atLeast"/>
        </w:trPr>
        <w:tc>
          <w:tcPr>
            <w:tcW w:w="989"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73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大豆</w:t>
            </w:r>
          </w:p>
        </w:tc>
        <w:tc>
          <w:tcPr>
            <w:tcW w:w="124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7.2</w:t>
            </w:r>
          </w:p>
        </w:tc>
        <w:tc>
          <w:tcPr>
            <w:tcW w:w="99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22309</w:t>
            </w:r>
          </w:p>
        </w:tc>
        <w:tc>
          <w:tcPr>
            <w:tcW w:w="102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1606.248</w:t>
            </w:r>
          </w:p>
        </w:tc>
      </w:tr>
      <w:tr>
        <w:tblPrEx>
          <w:tblCellMar>
            <w:top w:w="0" w:type="dxa"/>
            <w:left w:w="108" w:type="dxa"/>
            <w:bottom w:w="0" w:type="dxa"/>
            <w:right w:w="108" w:type="dxa"/>
          </w:tblCellMar>
        </w:tblPrEx>
        <w:trPr>
          <w:trHeight w:val="270" w:hRule="atLeast"/>
        </w:trPr>
        <w:tc>
          <w:tcPr>
            <w:tcW w:w="989" w:type="pct"/>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蔬菜</w:t>
            </w:r>
          </w:p>
        </w:tc>
        <w:tc>
          <w:tcPr>
            <w:tcW w:w="73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黄瓜</w:t>
            </w:r>
          </w:p>
        </w:tc>
        <w:tc>
          <w:tcPr>
            <w:tcW w:w="124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0.28</w:t>
            </w:r>
          </w:p>
        </w:tc>
        <w:tc>
          <w:tcPr>
            <w:tcW w:w="99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654</w:t>
            </w:r>
          </w:p>
        </w:tc>
        <w:tc>
          <w:tcPr>
            <w:tcW w:w="102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1.8312</w:t>
            </w:r>
          </w:p>
        </w:tc>
      </w:tr>
      <w:tr>
        <w:tblPrEx>
          <w:tblCellMar>
            <w:top w:w="0" w:type="dxa"/>
            <w:left w:w="108" w:type="dxa"/>
            <w:bottom w:w="0" w:type="dxa"/>
            <w:right w:w="108" w:type="dxa"/>
          </w:tblCellMar>
        </w:tblPrEx>
        <w:trPr>
          <w:trHeight w:val="270" w:hRule="atLeast"/>
        </w:trPr>
        <w:tc>
          <w:tcPr>
            <w:tcW w:w="989"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73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番茄</w:t>
            </w:r>
          </w:p>
        </w:tc>
        <w:tc>
          <w:tcPr>
            <w:tcW w:w="124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0.33</w:t>
            </w:r>
          </w:p>
        </w:tc>
        <w:tc>
          <w:tcPr>
            <w:tcW w:w="99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1753</w:t>
            </w:r>
          </w:p>
        </w:tc>
        <w:tc>
          <w:tcPr>
            <w:tcW w:w="102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5.7849</w:t>
            </w:r>
          </w:p>
        </w:tc>
      </w:tr>
      <w:tr>
        <w:tblPrEx>
          <w:tblCellMar>
            <w:top w:w="0" w:type="dxa"/>
            <w:left w:w="108" w:type="dxa"/>
            <w:bottom w:w="0" w:type="dxa"/>
            <w:right w:w="108" w:type="dxa"/>
          </w:tblCellMar>
        </w:tblPrEx>
        <w:trPr>
          <w:trHeight w:val="270" w:hRule="atLeast"/>
        </w:trPr>
        <w:tc>
          <w:tcPr>
            <w:tcW w:w="989"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73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茄子</w:t>
            </w:r>
          </w:p>
        </w:tc>
        <w:tc>
          <w:tcPr>
            <w:tcW w:w="124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0.34</w:t>
            </w:r>
          </w:p>
        </w:tc>
        <w:tc>
          <w:tcPr>
            <w:tcW w:w="99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296</w:t>
            </w:r>
          </w:p>
        </w:tc>
        <w:tc>
          <w:tcPr>
            <w:tcW w:w="102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1.0064</w:t>
            </w:r>
          </w:p>
        </w:tc>
      </w:tr>
      <w:tr>
        <w:tblPrEx>
          <w:tblCellMar>
            <w:top w:w="0" w:type="dxa"/>
            <w:left w:w="108" w:type="dxa"/>
            <w:bottom w:w="0" w:type="dxa"/>
            <w:right w:w="108" w:type="dxa"/>
          </w:tblCellMar>
        </w:tblPrEx>
        <w:trPr>
          <w:trHeight w:val="270" w:hRule="atLeast"/>
        </w:trPr>
        <w:tc>
          <w:tcPr>
            <w:tcW w:w="989"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73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大白菜</w:t>
            </w:r>
          </w:p>
        </w:tc>
        <w:tc>
          <w:tcPr>
            <w:tcW w:w="124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0.15</w:t>
            </w:r>
          </w:p>
        </w:tc>
        <w:tc>
          <w:tcPr>
            <w:tcW w:w="99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781</w:t>
            </w:r>
          </w:p>
        </w:tc>
        <w:tc>
          <w:tcPr>
            <w:tcW w:w="102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1.1715</w:t>
            </w:r>
          </w:p>
        </w:tc>
      </w:tr>
      <w:tr>
        <w:tblPrEx>
          <w:tblCellMar>
            <w:top w:w="0" w:type="dxa"/>
            <w:left w:w="108" w:type="dxa"/>
            <w:bottom w:w="0" w:type="dxa"/>
            <w:right w:w="108" w:type="dxa"/>
          </w:tblCellMar>
        </w:tblPrEx>
        <w:trPr>
          <w:trHeight w:val="270" w:hRule="atLeast"/>
        </w:trPr>
        <w:tc>
          <w:tcPr>
            <w:tcW w:w="989"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73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萝卜</w:t>
            </w:r>
          </w:p>
        </w:tc>
        <w:tc>
          <w:tcPr>
            <w:tcW w:w="124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0.28</w:t>
            </w:r>
          </w:p>
        </w:tc>
        <w:tc>
          <w:tcPr>
            <w:tcW w:w="99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229</w:t>
            </w:r>
          </w:p>
        </w:tc>
        <w:tc>
          <w:tcPr>
            <w:tcW w:w="102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0.6412</w:t>
            </w:r>
          </w:p>
        </w:tc>
      </w:tr>
      <w:tr>
        <w:tblPrEx>
          <w:tblCellMar>
            <w:top w:w="0" w:type="dxa"/>
            <w:left w:w="108" w:type="dxa"/>
            <w:bottom w:w="0" w:type="dxa"/>
            <w:right w:w="108" w:type="dxa"/>
          </w:tblCellMar>
        </w:tblPrEx>
        <w:trPr>
          <w:trHeight w:val="270" w:hRule="atLeast"/>
        </w:trPr>
        <w:tc>
          <w:tcPr>
            <w:tcW w:w="989"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73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大葱</w:t>
            </w:r>
          </w:p>
        </w:tc>
        <w:tc>
          <w:tcPr>
            <w:tcW w:w="124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0.19</w:t>
            </w:r>
          </w:p>
        </w:tc>
        <w:tc>
          <w:tcPr>
            <w:tcW w:w="99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78</w:t>
            </w:r>
          </w:p>
        </w:tc>
        <w:tc>
          <w:tcPr>
            <w:tcW w:w="102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0.1482</w:t>
            </w:r>
          </w:p>
        </w:tc>
      </w:tr>
      <w:tr>
        <w:tblPrEx>
          <w:tblCellMar>
            <w:top w:w="0" w:type="dxa"/>
            <w:left w:w="108" w:type="dxa"/>
            <w:bottom w:w="0" w:type="dxa"/>
            <w:right w:w="108" w:type="dxa"/>
          </w:tblCellMar>
        </w:tblPrEx>
        <w:trPr>
          <w:trHeight w:val="270" w:hRule="atLeast"/>
        </w:trPr>
        <w:tc>
          <w:tcPr>
            <w:tcW w:w="989"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73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大蒜</w:t>
            </w:r>
          </w:p>
        </w:tc>
        <w:tc>
          <w:tcPr>
            <w:tcW w:w="124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0.82</w:t>
            </w:r>
          </w:p>
        </w:tc>
        <w:tc>
          <w:tcPr>
            <w:tcW w:w="99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233</w:t>
            </w:r>
          </w:p>
        </w:tc>
        <w:tc>
          <w:tcPr>
            <w:tcW w:w="102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1.9106</w:t>
            </w:r>
          </w:p>
        </w:tc>
      </w:tr>
      <w:tr>
        <w:tblPrEx>
          <w:tblCellMar>
            <w:top w:w="0" w:type="dxa"/>
            <w:left w:w="108" w:type="dxa"/>
            <w:bottom w:w="0" w:type="dxa"/>
            <w:right w:w="108" w:type="dxa"/>
          </w:tblCellMar>
        </w:tblPrEx>
        <w:trPr>
          <w:trHeight w:val="270" w:hRule="atLeast"/>
        </w:trPr>
        <w:tc>
          <w:tcPr>
            <w:tcW w:w="989"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73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青椒</w:t>
            </w:r>
          </w:p>
        </w:tc>
        <w:tc>
          <w:tcPr>
            <w:tcW w:w="124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0.51</w:t>
            </w:r>
          </w:p>
        </w:tc>
        <w:tc>
          <w:tcPr>
            <w:tcW w:w="99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152</w:t>
            </w:r>
          </w:p>
        </w:tc>
        <w:tc>
          <w:tcPr>
            <w:tcW w:w="102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0.7752</w:t>
            </w:r>
          </w:p>
        </w:tc>
      </w:tr>
      <w:tr>
        <w:tblPrEx>
          <w:tblCellMar>
            <w:top w:w="0" w:type="dxa"/>
            <w:left w:w="108" w:type="dxa"/>
            <w:bottom w:w="0" w:type="dxa"/>
            <w:right w:w="108" w:type="dxa"/>
          </w:tblCellMar>
        </w:tblPrEx>
        <w:trPr>
          <w:trHeight w:val="270" w:hRule="atLeast"/>
        </w:trPr>
        <w:tc>
          <w:tcPr>
            <w:tcW w:w="989" w:type="pct"/>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果树</w:t>
            </w:r>
          </w:p>
        </w:tc>
        <w:tc>
          <w:tcPr>
            <w:tcW w:w="73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桃</w:t>
            </w:r>
          </w:p>
        </w:tc>
        <w:tc>
          <w:tcPr>
            <w:tcW w:w="124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0.21</w:t>
            </w:r>
          </w:p>
        </w:tc>
        <w:tc>
          <w:tcPr>
            <w:tcW w:w="99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15.6</w:t>
            </w:r>
          </w:p>
        </w:tc>
        <w:tc>
          <w:tcPr>
            <w:tcW w:w="102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0.03276</w:t>
            </w:r>
          </w:p>
        </w:tc>
      </w:tr>
      <w:tr>
        <w:tblPrEx>
          <w:tblCellMar>
            <w:top w:w="0" w:type="dxa"/>
            <w:left w:w="108" w:type="dxa"/>
            <w:bottom w:w="0" w:type="dxa"/>
            <w:right w:w="108" w:type="dxa"/>
          </w:tblCellMar>
        </w:tblPrEx>
        <w:trPr>
          <w:trHeight w:val="270" w:hRule="atLeast"/>
        </w:trPr>
        <w:tc>
          <w:tcPr>
            <w:tcW w:w="989"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28"/>
              </w:rPr>
            </w:pPr>
          </w:p>
        </w:tc>
        <w:tc>
          <w:tcPr>
            <w:tcW w:w="738"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葡萄</w:t>
            </w:r>
          </w:p>
        </w:tc>
        <w:tc>
          <w:tcPr>
            <w:tcW w:w="124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0.74</w:t>
            </w:r>
          </w:p>
        </w:tc>
        <w:tc>
          <w:tcPr>
            <w:tcW w:w="999"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875</w:t>
            </w:r>
          </w:p>
        </w:tc>
        <w:tc>
          <w:tcPr>
            <w:tcW w:w="1027"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6.475</w:t>
            </w:r>
          </w:p>
        </w:tc>
      </w:tr>
      <w:tr>
        <w:tblPrEx>
          <w:tblCellMar>
            <w:top w:w="0" w:type="dxa"/>
            <w:left w:w="108" w:type="dxa"/>
            <w:bottom w:w="0" w:type="dxa"/>
            <w:right w:w="108" w:type="dxa"/>
          </w:tblCellMar>
        </w:tblPrEx>
        <w:trPr>
          <w:trHeight w:val="270" w:hRule="atLeast"/>
        </w:trPr>
        <w:tc>
          <w:tcPr>
            <w:tcW w:w="98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人工草地</w:t>
            </w:r>
          </w:p>
        </w:tc>
        <w:tc>
          <w:tcPr>
            <w:tcW w:w="738"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苜蓿</w:t>
            </w:r>
          </w:p>
        </w:tc>
        <w:tc>
          <w:tcPr>
            <w:tcW w:w="1247"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0.2</w:t>
            </w:r>
          </w:p>
        </w:tc>
        <w:tc>
          <w:tcPr>
            <w:tcW w:w="999"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2000</w:t>
            </w:r>
          </w:p>
        </w:tc>
        <w:tc>
          <w:tcPr>
            <w:tcW w:w="1027"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4</w:t>
            </w:r>
          </w:p>
        </w:tc>
      </w:tr>
      <w:tr>
        <w:tblPrEx>
          <w:tblCellMar>
            <w:top w:w="0" w:type="dxa"/>
            <w:left w:w="108" w:type="dxa"/>
            <w:bottom w:w="0" w:type="dxa"/>
            <w:right w:w="108" w:type="dxa"/>
          </w:tblCellMar>
        </w:tblPrEx>
        <w:trPr>
          <w:trHeight w:val="270" w:hRule="atLeast"/>
        </w:trPr>
        <w:tc>
          <w:tcPr>
            <w:tcW w:w="3973"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合计</w:t>
            </w:r>
          </w:p>
        </w:tc>
        <w:tc>
          <w:tcPr>
            <w:tcW w:w="1027"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28"/>
              </w:rPr>
            </w:pPr>
            <w:r>
              <w:rPr>
                <w:rFonts w:ascii="Times New Roman" w:hAnsi="Times New Roman" w:eastAsia="方正仿宋简体"/>
                <w:color w:val="000000"/>
                <w:kern w:val="0"/>
                <w:sz w:val="28"/>
                <w:szCs w:val="28"/>
              </w:rPr>
              <w:t>3275.493</w:t>
            </w:r>
          </w:p>
        </w:tc>
      </w:tr>
    </w:tbl>
    <w:p>
      <w:pPr>
        <w:spacing w:line="560" w:lineRule="exact"/>
        <w:ind w:firstLine="640" w:firstLineChars="200"/>
        <w:rPr>
          <w:rFonts w:ascii="Times New Roman" w:hAnsi="Times New Roman" w:eastAsia="方正仿宋简体"/>
          <w:sz w:val="32"/>
          <w:szCs w:val="32"/>
        </w:rPr>
      </w:pPr>
      <w:r>
        <w:rPr>
          <w:rFonts w:ascii="Times New Roman" w:hAnsi="Times New Roman" w:eastAsia="方正仿宋简体"/>
          <w:kern w:val="0"/>
          <w:sz w:val="32"/>
          <w:szCs w:val="32"/>
          <w:lang w:bidi="ar"/>
        </w:rPr>
        <w:t>注：1.表格中每100kg作物产量氮消耗量数据来源于《畜禽粪便土地承载力测算技术指南》；2.作物总产量数据来源于济宁太白湖新区提供数据；</w:t>
      </w:r>
    </w:p>
    <w:p>
      <w:pPr>
        <w:spacing w:line="560" w:lineRule="exact"/>
        <w:ind w:firstLine="48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畜禽养殖粪污消纳配套土地面积指畜禽养殖场产生的粪污养分全部或部分还田利用所需要的土地面积。等于养殖场粪肥养分供给量除以单位土地粪肥养分需求量。</w:t>
      </w:r>
    </w:p>
    <w:p>
      <w:pPr>
        <w:spacing w:line="560" w:lineRule="exact"/>
        <w:ind w:firstLine="48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养殖场粪肥养分供给量=Σ（各种畜禽存栏量×各种畜禽氮（磷）排泄量）×养分留存率</w:t>
      </w:r>
    </w:p>
    <w:p>
      <w:pPr>
        <w:spacing w:line="560" w:lineRule="exact"/>
        <w:ind w:firstLine="48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单位土地粪肥养分需求量根据不同土壤肥力背景值，单位土地养分需求量、施肥比例、粪肥占施肥比例和粪肥当季利用效率测算。</w:t>
      </w:r>
    </w:p>
    <w:p>
      <w:pPr>
        <w:spacing w:line="560" w:lineRule="exact"/>
        <w:ind w:firstLine="48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单位土地养分需求量为规模养殖场单位面积配套土地种植的各类植物在目标产量下的氮（磷）养分需求量之和，各类作物的目标产品可以根据当地平均产量确定，具体参照区域植物养分需求量计算。</w:t>
      </w:r>
    </w:p>
    <w:p>
      <w:pPr>
        <w:spacing w:line="560" w:lineRule="exact"/>
        <w:ind w:firstLine="48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通过计算，考虑粪污全部还田的情况，太白湖新区畜禽粪污土地承载力（猪当量计）为467928头，2021年太白湖新区各类畜禽存栏量为78098.8头（以猪当量计），占总承载力的16.69%，由此可见，太白湖新区畜禽养殖量远远小于土地可承载力（猪当量计)。</w:t>
      </w:r>
    </w:p>
    <w:p>
      <w:pPr>
        <w:spacing w:line="560" w:lineRule="exact"/>
        <w:ind w:firstLine="48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进一步分析太白湖新区各镇街土地承载量，并与当前养殖量对比。</w:t>
      </w:r>
    </w:p>
    <w:p>
      <w:pPr>
        <w:spacing w:line="560" w:lineRule="exact"/>
        <w:ind w:firstLine="480"/>
        <w:rPr>
          <w:rFonts w:ascii="Times New Roman" w:hAnsi="Times New Roman" w:eastAsia="方正仿宋简体"/>
          <w:color w:val="000000" w:themeColor="text1"/>
          <w:sz w:val="32"/>
          <w:szCs w:val="32"/>
          <w14:textFill>
            <w14:solidFill>
              <w14:schemeClr w14:val="tx1"/>
            </w14:solidFill>
          </w14:textFill>
        </w:rPr>
      </w:pPr>
    </w:p>
    <w:p>
      <w:pPr>
        <w:spacing w:line="560" w:lineRule="exact"/>
        <w:jc w:val="center"/>
        <w:rPr>
          <w:rFonts w:ascii="Times New Roman" w:hAnsi="Times New Roman" w:eastAsia="方正仿宋简体"/>
          <w:b/>
          <w:bCs/>
          <w:sz w:val="32"/>
          <w:szCs w:val="32"/>
        </w:rPr>
      </w:pPr>
      <w:r>
        <w:rPr>
          <w:rFonts w:ascii="Times New Roman" w:hAnsi="Times New Roman" w:eastAsia="方正仿宋简体"/>
          <w:b/>
          <w:bCs/>
          <w:sz w:val="32"/>
          <w:szCs w:val="32"/>
        </w:rPr>
        <w:t>表3.2-4 太白湖新区各</w:t>
      </w:r>
      <w:r>
        <w:rPr>
          <w:rFonts w:ascii="Times New Roman" w:hAnsi="Times New Roman" w:eastAsia="方正仿宋简体"/>
          <w:b/>
          <w:color w:val="000000" w:themeColor="text1"/>
          <w:sz w:val="32"/>
          <w:szCs w:val="32"/>
          <w14:textFill>
            <w14:solidFill>
              <w14:schemeClr w14:val="tx1"/>
            </w14:solidFill>
          </w14:textFill>
        </w:rPr>
        <w:t>镇街</w:t>
      </w:r>
      <w:r>
        <w:rPr>
          <w:rFonts w:ascii="Times New Roman" w:hAnsi="Times New Roman" w:eastAsia="方正仿宋简体"/>
          <w:b/>
          <w:bCs/>
          <w:sz w:val="32"/>
          <w:szCs w:val="32"/>
        </w:rPr>
        <w:t>可承载猪当量</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3"/>
        <w:gridCol w:w="1997"/>
        <w:gridCol w:w="2504"/>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2253" w:type="dxa"/>
            <w:shd w:val="clear" w:color="auto" w:fill="auto"/>
            <w:vAlign w:val="center"/>
          </w:tcPr>
          <w:p>
            <w:pPr>
              <w:widowControl/>
              <w:snapToGrid w:val="0"/>
              <w:jc w:val="center"/>
              <w:textAlignment w:val="center"/>
              <w:rPr>
                <w:rFonts w:ascii="Times New Roman" w:hAnsi="Times New Roman" w:eastAsia="方正仿宋简体"/>
                <w:b/>
                <w:bCs/>
                <w:kern w:val="0"/>
                <w:sz w:val="28"/>
                <w:szCs w:val="28"/>
                <w:lang w:bidi="ar"/>
              </w:rPr>
            </w:pPr>
            <w:r>
              <w:rPr>
                <w:rFonts w:ascii="Times New Roman" w:hAnsi="Times New Roman" w:eastAsia="方正仿宋简体"/>
                <w:b/>
                <w:bCs/>
                <w:sz w:val="28"/>
                <w:szCs w:val="28"/>
              </w:rPr>
              <w:t>镇街</w:t>
            </w:r>
          </w:p>
        </w:tc>
        <w:tc>
          <w:tcPr>
            <w:tcW w:w="1997" w:type="dxa"/>
            <w:shd w:val="clear" w:color="auto" w:fill="auto"/>
            <w:vAlign w:val="center"/>
          </w:tcPr>
          <w:p>
            <w:pPr>
              <w:widowControl/>
              <w:snapToGrid w:val="0"/>
              <w:jc w:val="center"/>
              <w:textAlignment w:val="center"/>
              <w:rPr>
                <w:rFonts w:ascii="Times New Roman" w:hAnsi="Times New Roman" w:eastAsia="方正仿宋简体"/>
                <w:b/>
                <w:bCs/>
                <w:kern w:val="0"/>
                <w:sz w:val="28"/>
                <w:szCs w:val="28"/>
                <w:lang w:bidi="ar"/>
              </w:rPr>
            </w:pPr>
            <w:r>
              <w:rPr>
                <w:rFonts w:ascii="Times New Roman" w:hAnsi="Times New Roman" w:eastAsia="方正仿宋简体"/>
                <w:b/>
                <w:bCs/>
                <w:sz w:val="28"/>
                <w:szCs w:val="28"/>
              </w:rPr>
              <w:t>现状猪当量/头</w:t>
            </w:r>
          </w:p>
        </w:tc>
        <w:tc>
          <w:tcPr>
            <w:tcW w:w="2504" w:type="dxa"/>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可承载猪当量/头</w:t>
            </w:r>
          </w:p>
        </w:tc>
        <w:tc>
          <w:tcPr>
            <w:tcW w:w="1768" w:type="dxa"/>
            <w:shd w:val="clear" w:color="auto" w:fill="auto"/>
            <w:vAlign w:val="center"/>
          </w:tcPr>
          <w:p>
            <w:pPr>
              <w:pStyle w:val="60"/>
              <w:snapToGrid w:val="0"/>
              <w:ind w:firstLine="0" w:firstLineChars="0"/>
              <w:jc w:val="center"/>
              <w:rPr>
                <w:rFonts w:ascii="Times New Roman" w:hAnsi="Times New Roman" w:eastAsia="方正仿宋简体"/>
                <w:b/>
                <w:bCs/>
                <w:sz w:val="28"/>
              </w:rPr>
            </w:pPr>
            <w:r>
              <w:rPr>
                <w:rFonts w:ascii="Times New Roman" w:hAnsi="Times New Roman" w:eastAsia="方正仿宋简体"/>
                <w:b/>
                <w:bCs/>
                <w:sz w:val="28"/>
              </w:rPr>
              <w:t>承载力占比%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253" w:type="dxa"/>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许庄街道</w:t>
            </w:r>
          </w:p>
        </w:tc>
        <w:tc>
          <w:tcPr>
            <w:tcW w:w="1997" w:type="dxa"/>
            <w:shd w:val="clear" w:color="auto" w:fill="auto"/>
            <w:vAlign w:val="center"/>
          </w:tcPr>
          <w:p>
            <w:pPr>
              <w:pStyle w:val="60"/>
              <w:snapToGrid w:val="0"/>
              <w:ind w:firstLine="0" w:firstLineChars="0"/>
              <w:jc w:val="center"/>
              <w:rPr>
                <w:rFonts w:ascii="Times New Roman" w:hAnsi="Times New Roman" w:eastAsia="方正仿宋简体"/>
                <w:kern w:val="0"/>
                <w:sz w:val="28"/>
                <w:lang w:bidi="ar"/>
              </w:rPr>
            </w:pPr>
            <w:r>
              <w:rPr>
                <w:rFonts w:ascii="Times New Roman" w:hAnsi="Times New Roman" w:eastAsia="方正仿宋简体"/>
                <w:kern w:val="0"/>
                <w:sz w:val="28"/>
                <w:lang w:bidi="ar"/>
              </w:rPr>
              <w:t>/</w:t>
            </w:r>
          </w:p>
        </w:tc>
        <w:tc>
          <w:tcPr>
            <w:tcW w:w="2504" w:type="dxa"/>
            <w:shd w:val="clear" w:color="auto" w:fill="auto"/>
            <w:vAlign w:val="center"/>
          </w:tcPr>
          <w:p>
            <w:pPr>
              <w:pStyle w:val="60"/>
              <w:snapToGrid w:val="0"/>
              <w:ind w:firstLine="0" w:firstLineChars="0"/>
              <w:jc w:val="center"/>
              <w:rPr>
                <w:rFonts w:ascii="Times New Roman" w:hAnsi="Times New Roman" w:eastAsia="方正仿宋简体"/>
                <w:kern w:val="0"/>
                <w:sz w:val="28"/>
                <w:lang w:bidi="ar"/>
              </w:rPr>
            </w:pPr>
            <w:r>
              <w:rPr>
                <w:rFonts w:ascii="Times New Roman" w:hAnsi="Times New Roman" w:eastAsia="方正仿宋简体"/>
                <w:kern w:val="0"/>
                <w:sz w:val="28"/>
                <w:lang w:bidi="ar"/>
              </w:rPr>
              <w:t>/</w:t>
            </w:r>
          </w:p>
        </w:tc>
        <w:tc>
          <w:tcPr>
            <w:tcW w:w="1768" w:type="dxa"/>
            <w:shd w:val="clear" w:color="auto" w:fill="auto"/>
            <w:vAlign w:val="center"/>
          </w:tcPr>
          <w:p>
            <w:pPr>
              <w:pStyle w:val="60"/>
              <w:snapToGrid w:val="0"/>
              <w:ind w:firstLine="0" w:firstLineChars="0"/>
              <w:jc w:val="center"/>
              <w:rPr>
                <w:rFonts w:ascii="Times New Roman" w:hAnsi="Times New Roman" w:eastAsia="方正仿宋简体"/>
                <w:kern w:val="0"/>
                <w:sz w:val="28"/>
                <w:lang w:bidi="ar"/>
              </w:rPr>
            </w:pPr>
            <w:r>
              <w:rPr>
                <w:rFonts w:ascii="Times New Roman" w:hAnsi="Times New Roman" w:eastAsia="方正仿宋简体"/>
                <w:kern w:val="0"/>
                <w:sz w:val="2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253" w:type="dxa"/>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石桥镇</w:t>
            </w:r>
          </w:p>
        </w:tc>
        <w:tc>
          <w:tcPr>
            <w:tcW w:w="1997" w:type="dxa"/>
            <w:shd w:val="clear" w:color="auto" w:fill="auto"/>
            <w:vAlign w:val="center"/>
          </w:tcPr>
          <w:p>
            <w:pPr>
              <w:pStyle w:val="60"/>
              <w:snapToGrid w:val="0"/>
              <w:ind w:firstLine="0" w:firstLineChars="0"/>
              <w:jc w:val="center"/>
              <w:rPr>
                <w:rFonts w:ascii="Times New Roman" w:hAnsi="Times New Roman" w:eastAsia="方正仿宋简体"/>
                <w:kern w:val="0"/>
                <w:sz w:val="28"/>
                <w:lang w:bidi="ar"/>
              </w:rPr>
            </w:pPr>
            <w:r>
              <w:rPr>
                <w:rFonts w:ascii="Times New Roman" w:hAnsi="Times New Roman" w:eastAsia="方正仿宋简体"/>
                <w:kern w:val="0"/>
                <w:sz w:val="28"/>
                <w:lang w:bidi="ar"/>
              </w:rPr>
              <w:t>78098.8</w:t>
            </w:r>
          </w:p>
        </w:tc>
        <w:tc>
          <w:tcPr>
            <w:tcW w:w="2504" w:type="dxa"/>
            <w:shd w:val="clear" w:color="auto" w:fill="auto"/>
            <w:vAlign w:val="center"/>
          </w:tcPr>
          <w:p>
            <w:pPr>
              <w:pStyle w:val="60"/>
              <w:snapToGrid w:val="0"/>
              <w:ind w:firstLine="0" w:firstLineChars="0"/>
              <w:jc w:val="center"/>
              <w:rPr>
                <w:rFonts w:ascii="Times New Roman" w:hAnsi="Times New Roman" w:eastAsia="方正仿宋简体"/>
                <w:kern w:val="0"/>
                <w:sz w:val="28"/>
                <w:lang w:bidi="ar"/>
              </w:rPr>
            </w:pPr>
            <w:r>
              <w:rPr>
                <w:rFonts w:ascii="Times New Roman" w:hAnsi="Times New Roman" w:eastAsia="方正仿宋简体"/>
                <w:kern w:val="0"/>
                <w:sz w:val="28"/>
                <w:lang w:bidi="ar"/>
              </w:rPr>
              <w:t>467928</w:t>
            </w:r>
          </w:p>
        </w:tc>
        <w:tc>
          <w:tcPr>
            <w:tcW w:w="1768" w:type="dxa"/>
            <w:shd w:val="clear" w:color="auto" w:fill="auto"/>
            <w:vAlign w:val="center"/>
          </w:tcPr>
          <w:p>
            <w:pPr>
              <w:pStyle w:val="60"/>
              <w:snapToGrid w:val="0"/>
              <w:ind w:firstLine="0" w:firstLineChars="0"/>
              <w:jc w:val="center"/>
              <w:rPr>
                <w:rFonts w:ascii="Times New Roman" w:hAnsi="Times New Roman" w:eastAsia="方正仿宋简体"/>
                <w:kern w:val="0"/>
                <w:sz w:val="28"/>
                <w:lang w:bidi="ar"/>
              </w:rPr>
            </w:pPr>
            <w:r>
              <w:rPr>
                <w:rFonts w:ascii="Times New Roman" w:hAnsi="Times New Roman" w:eastAsia="方正仿宋简体"/>
                <w:kern w:val="0"/>
                <w:sz w:val="28"/>
                <w:lang w:bidi="ar"/>
              </w:rPr>
              <w:t>16.69%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253" w:type="dxa"/>
            <w:shd w:val="clear" w:color="auto" w:fill="auto"/>
            <w:vAlign w:val="center"/>
          </w:tcPr>
          <w:p>
            <w:pPr>
              <w:pStyle w:val="60"/>
              <w:snapToGrid w:val="0"/>
              <w:ind w:firstLine="0" w:firstLineChars="0"/>
              <w:jc w:val="center"/>
              <w:rPr>
                <w:rFonts w:ascii="Times New Roman" w:hAnsi="Times New Roman" w:eastAsia="方正仿宋简体"/>
                <w:sz w:val="28"/>
              </w:rPr>
            </w:pPr>
            <w:r>
              <w:rPr>
                <w:rFonts w:ascii="Times New Roman" w:hAnsi="Times New Roman" w:eastAsia="方正仿宋简体"/>
                <w:sz w:val="28"/>
              </w:rPr>
              <w:t>合计</w:t>
            </w:r>
          </w:p>
        </w:tc>
        <w:tc>
          <w:tcPr>
            <w:tcW w:w="1997" w:type="dxa"/>
            <w:shd w:val="clear" w:color="auto" w:fill="auto"/>
            <w:vAlign w:val="center"/>
          </w:tcPr>
          <w:p>
            <w:pPr>
              <w:pStyle w:val="60"/>
              <w:snapToGrid w:val="0"/>
              <w:ind w:firstLine="0" w:firstLineChars="0"/>
              <w:jc w:val="center"/>
              <w:rPr>
                <w:rFonts w:ascii="Times New Roman" w:hAnsi="Times New Roman" w:eastAsia="方正仿宋简体"/>
                <w:kern w:val="0"/>
                <w:sz w:val="28"/>
                <w:lang w:bidi="ar"/>
              </w:rPr>
            </w:pPr>
            <w:r>
              <w:rPr>
                <w:rFonts w:ascii="Times New Roman" w:hAnsi="Times New Roman" w:eastAsia="方正仿宋简体"/>
                <w:kern w:val="0"/>
                <w:sz w:val="28"/>
                <w:lang w:bidi="ar"/>
              </w:rPr>
              <w:t>78098.8</w:t>
            </w:r>
          </w:p>
        </w:tc>
        <w:tc>
          <w:tcPr>
            <w:tcW w:w="2504" w:type="dxa"/>
            <w:shd w:val="clear" w:color="auto" w:fill="auto"/>
            <w:vAlign w:val="center"/>
          </w:tcPr>
          <w:p>
            <w:pPr>
              <w:pStyle w:val="60"/>
              <w:snapToGrid w:val="0"/>
              <w:ind w:firstLine="0" w:firstLineChars="0"/>
              <w:jc w:val="center"/>
              <w:rPr>
                <w:rFonts w:ascii="Times New Roman" w:hAnsi="Times New Roman" w:eastAsia="方正仿宋简体"/>
                <w:kern w:val="0"/>
                <w:sz w:val="28"/>
                <w:lang w:bidi="ar"/>
              </w:rPr>
            </w:pPr>
            <w:r>
              <w:rPr>
                <w:rFonts w:ascii="Times New Roman" w:hAnsi="Times New Roman" w:eastAsia="方正仿宋简体"/>
                <w:kern w:val="0"/>
                <w:sz w:val="28"/>
                <w:lang w:bidi="ar"/>
              </w:rPr>
              <w:t>467928</w:t>
            </w:r>
          </w:p>
        </w:tc>
        <w:tc>
          <w:tcPr>
            <w:tcW w:w="1768" w:type="dxa"/>
            <w:shd w:val="clear" w:color="auto" w:fill="auto"/>
            <w:vAlign w:val="center"/>
          </w:tcPr>
          <w:p>
            <w:pPr>
              <w:pStyle w:val="60"/>
              <w:snapToGrid w:val="0"/>
              <w:ind w:firstLine="0" w:firstLineChars="0"/>
              <w:jc w:val="center"/>
              <w:rPr>
                <w:rFonts w:ascii="Times New Roman" w:hAnsi="Times New Roman" w:eastAsia="方正仿宋简体"/>
                <w:kern w:val="0"/>
                <w:sz w:val="28"/>
                <w:lang w:bidi="ar"/>
              </w:rPr>
            </w:pPr>
            <w:r>
              <w:rPr>
                <w:rFonts w:ascii="Times New Roman" w:hAnsi="Times New Roman" w:eastAsia="方正仿宋简体"/>
                <w:kern w:val="0"/>
                <w:sz w:val="28"/>
                <w:lang w:bidi="ar"/>
              </w:rPr>
              <w:t>16.69%</w:t>
            </w:r>
          </w:p>
        </w:tc>
      </w:tr>
    </w:tbl>
    <w:p>
      <w:pPr>
        <w:spacing w:line="560" w:lineRule="exact"/>
        <w:ind w:firstLine="48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通过计算，太白湖新区各镇街畜禽养殖量均小于土地承载力（猪当量计）。</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228" w:name="_Toc119843231"/>
      <w:bookmarkStart w:id="229" w:name="_Toc119849226"/>
      <w:bookmarkStart w:id="230" w:name="_Toc119856298"/>
      <w:bookmarkStart w:id="231" w:name="_Toc119856686"/>
      <w:bookmarkStart w:id="232" w:name="_Toc138888981"/>
      <w:bookmarkStart w:id="233" w:name="_Toc119835908"/>
      <w:r>
        <w:rPr>
          <w:rFonts w:ascii="Times New Roman" w:hAnsi="Times New Roman" w:eastAsia="方正仿宋简体"/>
          <w:color w:val="000000" w:themeColor="text1"/>
          <w14:textFill>
            <w14:solidFill>
              <w14:schemeClr w14:val="tx1"/>
            </w14:solidFill>
          </w14:textFill>
        </w:rPr>
        <w:t>3.2.4水资源承载力测算</w:t>
      </w:r>
      <w:bookmarkEnd w:id="228"/>
      <w:bookmarkEnd w:id="229"/>
      <w:bookmarkEnd w:id="230"/>
      <w:bookmarkEnd w:id="231"/>
      <w:bookmarkEnd w:id="232"/>
      <w:bookmarkEnd w:id="233"/>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济宁市2021年供水量情况表明：太白湖新区地表水提水量为1219.9468万m</w:t>
      </w:r>
      <w:r>
        <w:rPr>
          <w:rFonts w:ascii="Times New Roman" w:hAnsi="Times New Roman"/>
          <w:color w:val="000000" w:themeColor="text1"/>
          <w:sz w:val="32"/>
          <w:szCs w:val="32"/>
          <w14:textFill>
            <w14:solidFill>
              <w14:schemeClr w14:val="tx1"/>
            </w14:solidFill>
          </w14:textFill>
        </w:rPr>
        <w:t>³</w:t>
      </w:r>
      <w:r>
        <w:rPr>
          <w:rFonts w:ascii="Times New Roman" w:hAnsi="Times New Roman" w:eastAsia="方正仿宋简体"/>
          <w:color w:val="000000" w:themeColor="text1"/>
          <w:sz w:val="32"/>
          <w:szCs w:val="32"/>
          <w14:textFill>
            <w14:solidFill>
              <w14:schemeClr w14:val="tx1"/>
            </w14:solidFill>
          </w14:textFill>
        </w:rPr>
        <w:t>、地下水提水量为1132.7527万m</w:t>
      </w:r>
      <w:r>
        <w:rPr>
          <w:rFonts w:ascii="Times New Roman" w:hAnsi="Times New Roman"/>
          <w:color w:val="000000" w:themeColor="text1"/>
          <w:sz w:val="32"/>
          <w:szCs w:val="32"/>
          <w14:textFill>
            <w14:solidFill>
              <w14:schemeClr w14:val="tx1"/>
            </w14:solidFill>
          </w14:textFill>
        </w:rPr>
        <w:t>³</w:t>
      </w:r>
      <w:r>
        <w:rPr>
          <w:rFonts w:ascii="Times New Roman" w:hAnsi="Times New Roman" w:eastAsia="方正仿宋简体"/>
          <w:color w:val="000000" w:themeColor="text1"/>
          <w:sz w:val="32"/>
          <w:szCs w:val="32"/>
          <w14:textFill>
            <w14:solidFill>
              <w14:schemeClr w14:val="tx1"/>
            </w14:solidFill>
          </w14:textFill>
        </w:rPr>
        <w:t>，总计2352.7万m</w:t>
      </w:r>
      <w:r>
        <w:rPr>
          <w:rFonts w:ascii="Times New Roman" w:hAnsi="Times New Roman"/>
          <w:color w:val="000000" w:themeColor="text1"/>
          <w:sz w:val="32"/>
          <w:szCs w:val="32"/>
          <w14:textFill>
            <w14:solidFill>
              <w14:schemeClr w14:val="tx1"/>
            </w14:solidFill>
          </w14:textFill>
        </w:rPr>
        <w:t>³</w:t>
      </w:r>
      <w:r>
        <w:rPr>
          <w:rFonts w:ascii="Times New Roman" w:hAnsi="Times New Roman" w:eastAsia="方正仿宋简体"/>
          <w:color w:val="000000" w:themeColor="text1"/>
          <w:sz w:val="32"/>
          <w:szCs w:val="32"/>
          <w14:textFill>
            <w14:solidFill>
              <w14:schemeClr w14:val="tx1"/>
            </w14:solidFill>
          </w14:textFill>
        </w:rPr>
        <w:t>。境内水系分属淮河流域南四湖系、泗河、</w:t>
      </w:r>
      <w:r>
        <w:rPr>
          <w:rFonts w:ascii="Times New Roman" w:hAnsi="Times New Roman"/>
          <w:color w:val="000000" w:themeColor="text1"/>
          <w:sz w:val="32"/>
          <w:szCs w:val="32"/>
          <w14:textFill>
            <w14:solidFill>
              <w14:schemeClr w14:val="tx1"/>
            </w14:solidFill>
          </w14:textFill>
        </w:rPr>
        <w:t>洸</w:t>
      </w:r>
      <w:r>
        <w:rPr>
          <w:rFonts w:ascii="Times New Roman" w:hAnsi="Times New Roman" w:eastAsia="方正仿宋简体"/>
          <w:color w:val="000000" w:themeColor="text1"/>
          <w:sz w:val="32"/>
          <w:szCs w:val="32"/>
          <w14:textFill>
            <w14:solidFill>
              <w14:schemeClr w14:val="tx1"/>
            </w14:solidFill>
          </w14:textFill>
        </w:rPr>
        <w:t>府河流域，水资源丰富。</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济宁太白湖新区随着产业不断优化发展，全区畜禽养殖业比重不断提升，根据济宁太白湖新区现有78098.8头猪当量，依据《山东省用水定额》（DB53/T 168-2019），取一个猪当量日用水量为30L/头·d（圈养），年总用水量为85.12万m</w:t>
      </w:r>
      <w:r>
        <w:rPr>
          <w:rFonts w:ascii="Times New Roman" w:hAnsi="Times New Roman" w:eastAsia="方正仿宋简体"/>
          <w:color w:val="000000" w:themeColor="text1"/>
          <w:sz w:val="32"/>
          <w:szCs w:val="32"/>
          <w:vertAlign w:val="superscript"/>
          <w14:textFill>
            <w14:solidFill>
              <w14:schemeClr w14:val="tx1"/>
            </w14:solidFill>
          </w14:textFill>
        </w:rPr>
        <w:t>3</w:t>
      </w:r>
      <w:r>
        <w:rPr>
          <w:rFonts w:ascii="Times New Roman" w:hAnsi="Times New Roman" w:eastAsia="方正仿宋简体"/>
          <w:color w:val="000000" w:themeColor="text1"/>
          <w:sz w:val="32"/>
          <w:szCs w:val="32"/>
          <w14:textFill>
            <w14:solidFill>
              <w14:schemeClr w14:val="tx1"/>
            </w14:solidFill>
          </w14:textFill>
        </w:rPr>
        <w:t>，占济宁太白湖新区水资源总量约3.63%。因此，水资源承载力可满足畜禽养殖发展需要。但考虑到部分区域时空分布不均，存在区域性缺水和季节性缺水。因此，应尽可能降低水资源消耗指标。</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234" w:name="_Toc119835909"/>
      <w:bookmarkStart w:id="235" w:name="_Toc119849227"/>
      <w:bookmarkStart w:id="236" w:name="_Toc119856687"/>
      <w:bookmarkStart w:id="237" w:name="_Toc119843232"/>
      <w:bookmarkStart w:id="238" w:name="_Toc119856299"/>
      <w:bookmarkStart w:id="239" w:name="_Toc138888982"/>
      <w:r>
        <w:rPr>
          <w:rFonts w:ascii="Times New Roman" w:hAnsi="Times New Roman" w:eastAsia="方正仿宋简体"/>
          <w:color w:val="000000" w:themeColor="text1"/>
          <w14:textFill>
            <w14:solidFill>
              <w14:schemeClr w14:val="tx1"/>
            </w14:solidFill>
          </w14:textFill>
        </w:rPr>
        <w:t>3.2.5水环境承载力测算</w:t>
      </w:r>
      <w:bookmarkEnd w:id="234"/>
      <w:bookmarkEnd w:id="235"/>
      <w:bookmarkEnd w:id="236"/>
      <w:bookmarkEnd w:id="237"/>
      <w:bookmarkEnd w:id="238"/>
      <w:bookmarkEnd w:id="239"/>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根据济宁市生态环境局下发的《2020年度济宁市环境质量状况》，根据通报数据，济宁太白湖新区地表水国控断面共有3个，分别为老运河（西石佛断面）、</w:t>
      </w:r>
      <w:r>
        <w:rPr>
          <w:rFonts w:ascii="Times New Roman" w:hAnsi="Times New Roman"/>
          <w:color w:val="000000" w:themeColor="text1"/>
          <w:sz w:val="32"/>
          <w:szCs w:val="32"/>
          <w14:textFill>
            <w14:solidFill>
              <w14:schemeClr w14:val="tx1"/>
            </w14:solidFill>
          </w14:textFill>
        </w:rPr>
        <w:t>洸</w:t>
      </w:r>
      <w:r>
        <w:rPr>
          <w:rFonts w:ascii="Times New Roman" w:hAnsi="Times New Roman" w:eastAsia="方正仿宋简体"/>
          <w:color w:val="000000" w:themeColor="text1"/>
          <w:sz w:val="32"/>
          <w:szCs w:val="32"/>
          <w14:textFill>
            <w14:solidFill>
              <w14:schemeClr w14:val="tx1"/>
            </w14:solidFill>
          </w14:textFill>
        </w:rPr>
        <w:t>府河（东石佛断面）、泗河（尹沟断面）。根据济宁市生态环境局下发的《2020年度济宁市环境质量状况》，2020年太白湖（南四湖北部水域）年均水质综合类别符合《地表水环境质量标准》（GB3838-2002）</w:t>
      </w:r>
      <w:r>
        <w:rPr>
          <w:rFonts w:hint="eastAsia" w:ascii="宋体" w:hAnsi="宋体" w:cs="宋体"/>
          <w:color w:val="000000" w:themeColor="text1"/>
          <w:sz w:val="32"/>
          <w:szCs w:val="32"/>
          <w14:textFill>
            <w14:solidFill>
              <w14:schemeClr w14:val="tx1"/>
            </w14:solidFill>
          </w14:textFill>
        </w:rPr>
        <w:t>Ⅲ</w:t>
      </w:r>
      <w:r>
        <w:rPr>
          <w:rFonts w:ascii="Times New Roman" w:hAnsi="Times New Roman" w:eastAsia="方正仿宋简体"/>
          <w:color w:val="000000" w:themeColor="text1"/>
          <w:sz w:val="32"/>
          <w:szCs w:val="32"/>
          <w14:textFill>
            <w14:solidFill>
              <w14:schemeClr w14:val="tx1"/>
            </w14:solidFill>
          </w14:textFill>
        </w:rPr>
        <w:t>类标准，水质状况良好；参考指标总氮为</w:t>
      </w:r>
      <w:r>
        <w:rPr>
          <w:rFonts w:hint="eastAsia" w:ascii="宋体" w:hAnsi="宋体" w:cs="宋体"/>
          <w:color w:val="000000" w:themeColor="text1"/>
          <w:sz w:val="32"/>
          <w:szCs w:val="32"/>
          <w14:textFill>
            <w14:solidFill>
              <w14:schemeClr w14:val="tx1"/>
            </w14:solidFill>
          </w14:textFill>
        </w:rPr>
        <w:t>Ⅲ</w:t>
      </w:r>
      <w:r>
        <w:rPr>
          <w:rFonts w:ascii="Times New Roman" w:hAnsi="Times New Roman" w:eastAsia="方正仿宋简体"/>
          <w:color w:val="000000" w:themeColor="text1"/>
          <w:sz w:val="32"/>
          <w:szCs w:val="32"/>
          <w14:textFill>
            <w14:solidFill>
              <w14:schemeClr w14:val="tx1"/>
            </w14:solidFill>
          </w14:textFill>
        </w:rPr>
        <w:t>类；营养状态为中营养。全年12个月有1个月水质类别为</w:t>
      </w:r>
      <w:r>
        <w:rPr>
          <w:rFonts w:hint="eastAsia" w:ascii="宋体" w:hAnsi="宋体" w:cs="宋体"/>
          <w:color w:val="000000" w:themeColor="text1"/>
          <w:sz w:val="32"/>
          <w:szCs w:val="32"/>
          <w14:textFill>
            <w14:solidFill>
              <w14:schemeClr w14:val="tx1"/>
            </w14:solidFill>
          </w14:textFill>
        </w:rPr>
        <w:t>Ⅳ</w:t>
      </w:r>
      <w:r>
        <w:rPr>
          <w:rFonts w:ascii="Times New Roman" w:hAnsi="Times New Roman" w:eastAsia="方正仿宋简体"/>
          <w:color w:val="000000" w:themeColor="text1"/>
          <w:sz w:val="32"/>
          <w:szCs w:val="32"/>
          <w14:textFill>
            <w14:solidFill>
              <w14:schemeClr w14:val="tx1"/>
            </w14:solidFill>
          </w14:textFill>
        </w:rPr>
        <w:t>类轻度污染（超标项目为溶解氧、化学需氧量），占比8.3%，</w:t>
      </w:r>
      <w:r>
        <w:rPr>
          <w:rFonts w:hint="eastAsia" w:ascii="宋体" w:hAnsi="宋体" w:cs="宋体"/>
          <w:color w:val="000000" w:themeColor="text1"/>
          <w:sz w:val="32"/>
          <w:szCs w:val="32"/>
          <w14:textFill>
            <w14:solidFill>
              <w14:schemeClr w14:val="tx1"/>
            </w14:solidFill>
          </w14:textFill>
        </w:rPr>
        <w:t>Ⅲ</w:t>
      </w:r>
      <w:r>
        <w:rPr>
          <w:rFonts w:ascii="Times New Roman" w:hAnsi="Times New Roman" w:eastAsia="方正仿宋简体"/>
          <w:color w:val="000000" w:themeColor="text1"/>
          <w:sz w:val="32"/>
          <w:szCs w:val="32"/>
          <w14:textFill>
            <w14:solidFill>
              <w14:schemeClr w14:val="tx1"/>
            </w14:solidFill>
          </w14:textFill>
        </w:rPr>
        <w:t>类占比66.7%，</w:t>
      </w:r>
      <w:r>
        <w:rPr>
          <w:rFonts w:hint="eastAsia" w:ascii="宋体" w:hAnsi="宋体" w:cs="宋体"/>
          <w:color w:val="000000" w:themeColor="text1"/>
          <w:sz w:val="32"/>
          <w:szCs w:val="32"/>
          <w14:textFill>
            <w14:solidFill>
              <w14:schemeClr w14:val="tx1"/>
            </w14:solidFill>
          </w14:textFill>
        </w:rPr>
        <w:t>Ⅱ</w:t>
      </w:r>
      <w:r>
        <w:rPr>
          <w:rFonts w:ascii="Times New Roman" w:hAnsi="Times New Roman" w:eastAsia="方正仿宋简体"/>
          <w:color w:val="000000" w:themeColor="text1"/>
          <w:sz w:val="32"/>
          <w:szCs w:val="32"/>
          <w14:textFill>
            <w14:solidFill>
              <w14:schemeClr w14:val="tx1"/>
            </w14:solidFill>
          </w14:textFill>
        </w:rPr>
        <w:t>类占比25%。其余国控、省控河流水质均达到水体功能要求，未出现超标现象。</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水环境承载力评价办法（试行）》对济宁太白湖新区畜禽养殖水环境承载力测算，水环境承载力指数越大，表明区域水环境系统对社会经济系统支持能力越强。水环境承载力评价指标体系包括：水质时间达标率和水质空间达标率，共2个评价指标，分别反映评价区域内水质在时间和空间尺度上的达标情况。水质达标情况参照《地表水环境质量标准》（GB 3838-2002）和《地表水环境质量评价办法（试行）》（环办〔2011〕22号）中的单因子评价法进行评价。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（1）水质时间达标率（A1）</w:t>
      </w:r>
    </w:p>
    <w:p>
      <w:pPr>
        <w:adjustRightInd w:val="0"/>
        <w:snapToGrid w:val="0"/>
        <w:spacing w:line="360" w:lineRule="auto"/>
        <w:jc w:val="center"/>
        <w:rPr>
          <w:rFonts w:ascii="Times New Roman" w:hAnsi="Times New Roman" w:eastAsia="方正仿宋简体"/>
          <w:color w:val="000000" w:themeColor="text1"/>
          <w:kern w:val="0"/>
          <w:sz w:val="32"/>
          <w:szCs w:val="32"/>
          <w14:textFill>
            <w14:solidFill>
              <w14:schemeClr w14:val="tx1"/>
            </w14:solidFill>
          </w14:textFill>
        </w:rPr>
      </w:pPr>
      <w:r>
        <w:rPr>
          <w:rFonts w:ascii="Times New Roman" w:hAnsi="Times New Roman" w:eastAsia="方正仿宋简体"/>
          <w:color w:val="000000" w:themeColor="text1"/>
          <w:kern w:val="0"/>
          <w:sz w:val="32"/>
          <w:szCs w:val="32"/>
          <w14:textFill>
            <w14:solidFill>
              <w14:schemeClr w14:val="tx1"/>
            </w14:solidFill>
          </w14:textFill>
        </w:rPr>
        <w:pict>
          <v:shape id="_x0000_i1025" o:spt="75" type="#_x0000_t75" style="height:61.5pt;width:76.5pt;" filled="f" o:preferrelative="t" stroked="f" coordsize="21600,21600" equationxml="&lt;">
            <v:path/>
            <v:fill on="f" focussize="0,0"/>
            <v:stroke on="f" joinstyle="miter"/>
            <v:imagedata r:id="rId29" chromakey="#FFFFFF" o:title=""/>
            <o:lock v:ext="edit" aspectratio="t"/>
            <w10:wrap type="none"/>
            <w10:anchorlock/>
          </v:shape>
        </w:pict>
      </w:r>
    </w:p>
    <w:p>
      <w:pPr>
        <w:adjustRightInd w:val="0"/>
        <w:snapToGrid w:val="0"/>
        <w:spacing w:line="360" w:lineRule="auto"/>
        <w:jc w:val="center"/>
        <w:rPr>
          <w:rFonts w:ascii="Times New Roman" w:hAnsi="Times New Roman" w:eastAsia="方正仿宋简体"/>
          <w:color w:val="000000" w:themeColor="text1"/>
          <w:kern w:val="0"/>
          <w:sz w:val="32"/>
          <w:szCs w:val="32"/>
          <w14:textFill>
            <w14:solidFill>
              <w14:schemeClr w14:val="tx1"/>
            </w14:solidFill>
          </w14:textFill>
        </w:rPr>
      </w:pPr>
      <w:r>
        <w:rPr>
          <w:rFonts w:ascii="Times New Roman" w:hAnsi="Times New Roman" w:eastAsia="方正仿宋简体"/>
          <w:color w:val="000000" w:themeColor="text1"/>
          <w:kern w:val="0"/>
          <w:sz w:val="32"/>
          <w:szCs w:val="32"/>
          <w14:textFill>
            <w14:solidFill>
              <w14:schemeClr w14:val="tx1"/>
            </w14:solidFill>
          </w14:textFill>
        </w:rPr>
        <w:pict>
          <v:shape id="_x0000_i1026" o:spt="75" type="#_x0000_t75" style="height:59.25pt;width:188.25pt;" filled="f" o:preferrelative="t" stroked="f" coordsize="21600,21600" equationxml="&lt;">
            <v:path/>
            <v:fill on="f" focussize="0,0"/>
            <v:stroke on="f" joinstyle="miter"/>
            <v:imagedata r:id="rId30" chromakey="#FFFFFF" o:title=""/>
            <o:lock v:ext="edit" aspectratio="t"/>
            <w10:wrap type="none"/>
            <w10:anchorlock/>
          </v:shape>
        </w:pic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式中，n为区域内断面个数；Ci是指第i个断面（点位）水质时间达标率。</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（2）水质空间达标率（A</w:t>
      </w:r>
      <w:r>
        <w:rPr>
          <w:rFonts w:ascii="Times New Roman" w:hAnsi="Times New Roman" w:eastAsia="方正仿宋简体"/>
          <w:color w:val="000000" w:themeColor="text1"/>
          <w:sz w:val="32"/>
          <w:szCs w:val="32"/>
          <w:vertAlign w:val="subscript"/>
          <w14:textFill>
            <w14:solidFill>
              <w14:schemeClr w14:val="tx1"/>
            </w14:solidFill>
          </w14:textFill>
        </w:rPr>
        <w:t>2</w:t>
      </w:r>
      <w:r>
        <w:rPr>
          <w:rFonts w:ascii="Times New Roman" w:hAnsi="Times New Roman" w:eastAsia="方正仿宋简体"/>
          <w:color w:val="000000" w:themeColor="text1"/>
          <w:sz w:val="32"/>
          <w:szCs w:val="32"/>
          <w14:textFill>
            <w14:solidFill>
              <w14:schemeClr w14:val="tx1"/>
            </w14:solidFill>
          </w14:textFill>
        </w:rPr>
        <w:t>）</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指区域内年度达标断面个数占断面总个数的百分比。济宁太白湖新区共有3个国控断面，2020年该断面水质达标率为100％，因此，济宁太白湖新区水质空间达标率（A</w:t>
      </w:r>
      <w:r>
        <w:rPr>
          <w:rFonts w:ascii="Times New Roman" w:hAnsi="Times New Roman" w:eastAsia="方正仿宋简体"/>
          <w:color w:val="000000" w:themeColor="text1"/>
          <w:sz w:val="32"/>
          <w:szCs w:val="32"/>
          <w:vertAlign w:val="subscript"/>
          <w14:textFill>
            <w14:solidFill>
              <w14:schemeClr w14:val="tx1"/>
            </w14:solidFill>
          </w14:textFill>
        </w:rPr>
        <w:t>2</w:t>
      </w:r>
      <w:r>
        <w:rPr>
          <w:rFonts w:ascii="Times New Roman" w:hAnsi="Times New Roman" w:eastAsia="方正仿宋简体"/>
          <w:color w:val="000000" w:themeColor="text1"/>
          <w:sz w:val="32"/>
          <w:szCs w:val="32"/>
          <w14:textFill>
            <w14:solidFill>
              <w14:schemeClr w14:val="tx1"/>
            </w14:solidFill>
          </w14:textFill>
        </w:rPr>
        <w:t>）＝4/4×100％＝100％。</w:t>
      </w:r>
    </w:p>
    <w:p>
      <w:pPr>
        <w:spacing w:line="360" w:lineRule="auto"/>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（3）水环境承载力指数（Rc）</w:t>
      </w:r>
    </w:p>
    <w:p>
      <w:pPr>
        <w:spacing w:line="360" w:lineRule="auto"/>
        <w:ind w:firstLine="480"/>
        <w:jc w:val="center"/>
        <w:rPr>
          <w:rFonts w:ascii="Times New Roman" w:hAnsi="Times New Roman" w:eastAsia="方正仿宋简体"/>
          <w:color w:val="000000" w:themeColor="text1"/>
          <w:kern w:val="0"/>
          <w:sz w:val="32"/>
          <w:szCs w:val="32"/>
          <w14:textFill>
            <w14:solidFill>
              <w14:schemeClr w14:val="tx1"/>
            </w14:solidFill>
          </w14:textFill>
        </w:rPr>
      </w:pPr>
      <w:r>
        <w:rPr>
          <w:rFonts w:ascii="Times New Roman" w:hAnsi="Times New Roman" w:eastAsia="方正仿宋简体"/>
          <w:color w:val="000000" w:themeColor="text1"/>
          <w:kern w:val="0"/>
          <w:sz w:val="32"/>
          <w:szCs w:val="32"/>
          <w14:textFill>
            <w14:solidFill>
              <w14:schemeClr w14:val="tx1"/>
            </w14:solidFill>
          </w14:textFill>
        </w:rPr>
        <w:pict>
          <v:shape id="_x0000_i1027" o:spt="75" type="#_x0000_t75" style="height:45pt;width:85.5pt;" filled="f" o:preferrelative="t" stroked="f" coordsize="21600,21600" equationxml="&lt;">
            <v:path/>
            <v:fill on="f" focussize="0,0"/>
            <v:stroke on="f" joinstyle="miter"/>
            <v:imagedata r:id="rId31" chromakey="#FFFFFF" o:title=""/>
            <o:lock v:ext="edit" aspectratio="t"/>
            <w10:wrap type="none"/>
            <w10:anchorlock/>
          </v:shape>
        </w:pict>
      </w:r>
    </w:p>
    <w:p>
      <w:pPr>
        <w:spacing w:line="560" w:lineRule="exact"/>
        <w:ind w:firstLine="640" w:firstLineChars="200"/>
        <w:rPr>
          <w:rFonts w:ascii="Times New Roman" w:hAnsi="Times New Roman" w:eastAsia="方正仿宋简体"/>
          <w:color w:val="000000" w:themeColor="text1"/>
          <w:kern w:val="0"/>
          <w:sz w:val="32"/>
          <w:szCs w:val="32"/>
          <w14:textFill>
            <w14:solidFill>
              <w14:schemeClr w14:val="tx1"/>
            </w14:solidFill>
          </w14:textFill>
        </w:rPr>
      </w:pPr>
      <w:r>
        <w:rPr>
          <w:rFonts w:ascii="Times New Roman" w:hAnsi="Times New Roman" w:eastAsia="方正仿宋简体"/>
          <w:color w:val="000000" w:themeColor="text1"/>
          <w:kern w:val="0"/>
          <w:sz w:val="32"/>
          <w:szCs w:val="32"/>
          <w14:textFill>
            <w14:solidFill>
              <w14:schemeClr w14:val="tx1"/>
            </w14:solidFill>
          </w14:textFill>
        </w:rPr>
        <w:t>式中，Rc是水环境承载力指数；A</w:t>
      </w:r>
      <w:r>
        <w:rPr>
          <w:rFonts w:ascii="Times New Roman" w:hAnsi="Times New Roman" w:eastAsia="方正仿宋简体"/>
          <w:color w:val="000000" w:themeColor="text1"/>
          <w:kern w:val="0"/>
          <w:sz w:val="32"/>
          <w:szCs w:val="32"/>
          <w:vertAlign w:val="subscript"/>
          <w14:textFill>
            <w14:solidFill>
              <w14:schemeClr w14:val="tx1"/>
            </w14:solidFill>
          </w14:textFill>
        </w:rPr>
        <w:t>1</w:t>
      </w:r>
      <w:r>
        <w:rPr>
          <w:rFonts w:ascii="Times New Roman" w:hAnsi="Times New Roman" w:eastAsia="方正仿宋简体"/>
          <w:color w:val="000000" w:themeColor="text1"/>
          <w:kern w:val="0"/>
          <w:sz w:val="32"/>
          <w:szCs w:val="32"/>
          <w14:textFill>
            <w14:solidFill>
              <w14:schemeClr w14:val="tx1"/>
            </w14:solidFill>
          </w14:textFill>
        </w:rPr>
        <w:t>是水质时间达标率；A</w:t>
      </w:r>
      <w:r>
        <w:rPr>
          <w:rFonts w:ascii="Times New Roman" w:hAnsi="Times New Roman" w:eastAsia="方正仿宋简体"/>
          <w:color w:val="000000" w:themeColor="text1"/>
          <w:kern w:val="0"/>
          <w:sz w:val="32"/>
          <w:szCs w:val="32"/>
          <w:vertAlign w:val="subscript"/>
          <w14:textFill>
            <w14:solidFill>
              <w14:schemeClr w14:val="tx1"/>
            </w14:solidFill>
          </w14:textFill>
        </w:rPr>
        <w:t>2</w:t>
      </w:r>
      <w:r>
        <w:rPr>
          <w:rFonts w:ascii="Times New Roman" w:hAnsi="Times New Roman" w:eastAsia="方正仿宋简体"/>
          <w:color w:val="000000" w:themeColor="text1"/>
          <w:kern w:val="0"/>
          <w:sz w:val="32"/>
          <w:szCs w:val="32"/>
          <w14:textFill>
            <w14:solidFill>
              <w14:schemeClr w14:val="tx1"/>
            </w14:solidFill>
          </w14:textFill>
        </w:rPr>
        <w:t>是水质空间达标率。</w:t>
      </w:r>
    </w:p>
    <w:p>
      <w:pPr>
        <w:spacing w:line="560" w:lineRule="exact"/>
        <w:ind w:firstLine="640" w:firstLineChars="200"/>
        <w:rPr>
          <w:rFonts w:ascii="Times New Roman" w:hAnsi="Times New Roman" w:eastAsia="方正仿宋简体"/>
          <w:color w:val="000000" w:themeColor="text1"/>
          <w:kern w:val="0"/>
          <w:sz w:val="32"/>
          <w:szCs w:val="32"/>
          <w14:textFill>
            <w14:solidFill>
              <w14:schemeClr w14:val="tx1"/>
            </w14:solidFill>
          </w14:textFill>
        </w:rPr>
      </w:pPr>
      <w:r>
        <w:rPr>
          <w:rFonts w:ascii="Times New Roman" w:hAnsi="Times New Roman" w:eastAsia="方正仿宋简体"/>
          <w:color w:val="000000" w:themeColor="text1"/>
          <w:kern w:val="0"/>
          <w:sz w:val="32"/>
          <w:szCs w:val="32"/>
          <w14:textFill>
            <w14:solidFill>
              <w14:schemeClr w14:val="tx1"/>
            </w14:solidFill>
          </w14:textFill>
        </w:rPr>
        <w:t>2020年济宁太白湖新区主要河流现状水环境承载力评价见表3.2-5。</w:t>
      </w:r>
    </w:p>
    <w:p>
      <w:pPr>
        <w:spacing w:line="560" w:lineRule="exact"/>
        <w:ind w:firstLine="640" w:firstLineChars="200"/>
        <w:rPr>
          <w:rFonts w:ascii="Times New Roman" w:hAnsi="Times New Roman" w:eastAsia="方正仿宋简体"/>
          <w:color w:val="000000" w:themeColor="text1"/>
          <w:kern w:val="0"/>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kern w:val="0"/>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kern w:val="0"/>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kern w:val="0"/>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kern w:val="0"/>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kern w:val="0"/>
          <w:sz w:val="32"/>
          <w:szCs w:val="32"/>
          <w14:textFill>
            <w14:solidFill>
              <w14:schemeClr w14:val="tx1"/>
            </w14:solidFill>
          </w14:textFill>
        </w:rPr>
      </w:pPr>
    </w:p>
    <w:p>
      <w:pPr>
        <w:spacing w:line="560" w:lineRule="exact"/>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表3.2-5 济宁太白湖新区主要河流现状水环境承载力评价表</w:t>
      </w:r>
    </w:p>
    <w:tbl>
      <w:tblPr>
        <w:tblStyle w:val="27"/>
        <w:tblW w:w="8238" w:type="dxa"/>
        <w:jc w:val="center"/>
        <w:tblLayout w:type="autofit"/>
        <w:tblCellMar>
          <w:top w:w="0" w:type="dxa"/>
          <w:left w:w="108" w:type="dxa"/>
          <w:bottom w:w="0" w:type="dxa"/>
          <w:right w:w="108" w:type="dxa"/>
        </w:tblCellMar>
      </w:tblPr>
      <w:tblGrid>
        <w:gridCol w:w="533"/>
        <w:gridCol w:w="1665"/>
        <w:gridCol w:w="1304"/>
        <w:gridCol w:w="794"/>
        <w:gridCol w:w="685"/>
        <w:gridCol w:w="677"/>
        <w:gridCol w:w="651"/>
        <w:gridCol w:w="626"/>
        <w:gridCol w:w="614"/>
        <w:gridCol w:w="689"/>
      </w:tblGrid>
      <w:tr>
        <w:tblPrEx>
          <w:tblCellMar>
            <w:top w:w="0" w:type="dxa"/>
            <w:left w:w="108" w:type="dxa"/>
            <w:bottom w:w="0" w:type="dxa"/>
            <w:right w:w="108" w:type="dxa"/>
          </w:tblCellMar>
        </w:tblPrEx>
        <w:trPr>
          <w:trHeight w:val="454" w:hRule="atLeast"/>
          <w:tblHeader/>
          <w:jc w:val="center"/>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序号</w:t>
            </w:r>
          </w:p>
        </w:tc>
        <w:tc>
          <w:tcPr>
            <w:tcW w:w="1665"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河流名称</w:t>
            </w:r>
          </w:p>
        </w:tc>
        <w:tc>
          <w:tcPr>
            <w:tcW w:w="1304"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断面名称</w:t>
            </w:r>
          </w:p>
        </w:tc>
        <w:tc>
          <w:tcPr>
            <w:tcW w:w="794"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控制级别</w:t>
            </w:r>
          </w:p>
        </w:tc>
        <w:tc>
          <w:tcPr>
            <w:tcW w:w="685"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监测次数</w:t>
            </w:r>
          </w:p>
        </w:tc>
        <w:tc>
          <w:tcPr>
            <w:tcW w:w="677" w:type="dxa"/>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达标次数</w:t>
            </w:r>
          </w:p>
        </w:tc>
        <w:tc>
          <w:tcPr>
            <w:tcW w:w="651" w:type="dxa"/>
            <w:tcBorders>
              <w:top w:val="single" w:color="auto" w:sz="4" w:space="0"/>
              <w:left w:val="nil"/>
              <w:bottom w:val="single" w:color="auto" w:sz="4" w:space="0"/>
              <w:right w:val="single" w:color="auto" w:sz="4" w:space="0"/>
            </w:tcBorders>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总点位数</w:t>
            </w:r>
          </w:p>
        </w:tc>
        <w:tc>
          <w:tcPr>
            <w:tcW w:w="626" w:type="dxa"/>
            <w:tcBorders>
              <w:top w:val="single" w:color="auto" w:sz="4" w:space="0"/>
              <w:left w:val="nil"/>
              <w:bottom w:val="single" w:color="auto" w:sz="4" w:space="0"/>
              <w:right w:val="single" w:color="auto" w:sz="4" w:space="0"/>
            </w:tcBorders>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A1</w:t>
            </w:r>
          </w:p>
        </w:tc>
        <w:tc>
          <w:tcPr>
            <w:tcW w:w="614" w:type="dxa"/>
            <w:tcBorders>
              <w:top w:val="single" w:color="auto" w:sz="4" w:space="0"/>
              <w:left w:val="nil"/>
              <w:bottom w:val="single" w:color="auto" w:sz="4" w:space="0"/>
              <w:right w:val="single" w:color="auto" w:sz="4" w:space="0"/>
            </w:tcBorders>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A2</w:t>
            </w:r>
          </w:p>
        </w:tc>
        <w:tc>
          <w:tcPr>
            <w:tcW w:w="689" w:type="dxa"/>
            <w:tcBorders>
              <w:top w:val="single" w:color="auto" w:sz="4" w:space="0"/>
              <w:left w:val="nil"/>
              <w:bottom w:val="single" w:color="auto" w:sz="4" w:space="0"/>
              <w:right w:val="single" w:color="auto" w:sz="4" w:space="0"/>
            </w:tcBorders>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Rc</w:t>
            </w:r>
          </w:p>
        </w:tc>
      </w:tr>
      <w:tr>
        <w:tblPrEx>
          <w:tblCellMar>
            <w:top w:w="0" w:type="dxa"/>
            <w:left w:w="108" w:type="dxa"/>
            <w:bottom w:w="0" w:type="dxa"/>
            <w:right w:w="108" w:type="dxa"/>
          </w:tblCellMar>
        </w:tblPrEx>
        <w:trPr>
          <w:trHeight w:val="454" w:hRule="atLeast"/>
          <w:jc w:val="center"/>
        </w:trPr>
        <w:tc>
          <w:tcPr>
            <w:tcW w:w="53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w:t>
            </w:r>
          </w:p>
        </w:tc>
        <w:tc>
          <w:tcPr>
            <w:tcW w:w="1665" w:type="dxa"/>
            <w:tcBorders>
              <w:top w:val="nil"/>
              <w:left w:val="single" w:color="auto" w:sz="4" w:space="0"/>
              <w:bottom w:val="single" w:color="000000" w:sz="4" w:space="0"/>
              <w:right w:val="single" w:color="auto" w:sz="4" w:space="0"/>
            </w:tcBorders>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老运河</w:t>
            </w:r>
          </w:p>
        </w:tc>
        <w:tc>
          <w:tcPr>
            <w:tcW w:w="1304" w:type="dxa"/>
            <w:tcBorders>
              <w:top w:val="nil"/>
              <w:left w:val="single" w:color="auto" w:sz="4" w:space="0"/>
              <w:bottom w:val="single" w:color="000000" w:sz="4" w:space="0"/>
              <w:right w:val="single" w:color="auto" w:sz="4" w:space="0"/>
            </w:tcBorders>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西石佛断面</w:t>
            </w:r>
          </w:p>
        </w:tc>
        <w:tc>
          <w:tcPr>
            <w:tcW w:w="79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国控</w:t>
            </w:r>
          </w:p>
        </w:tc>
        <w:tc>
          <w:tcPr>
            <w:tcW w:w="685"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12</w:t>
            </w:r>
          </w:p>
        </w:tc>
        <w:tc>
          <w:tcPr>
            <w:tcW w:w="67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12</w:t>
            </w:r>
          </w:p>
        </w:tc>
        <w:tc>
          <w:tcPr>
            <w:tcW w:w="651"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w:t>
            </w:r>
          </w:p>
        </w:tc>
        <w:tc>
          <w:tcPr>
            <w:tcW w:w="626"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1.0</w:t>
            </w:r>
          </w:p>
        </w:tc>
        <w:tc>
          <w:tcPr>
            <w:tcW w:w="614"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1.0</w:t>
            </w:r>
          </w:p>
        </w:tc>
        <w:tc>
          <w:tcPr>
            <w:tcW w:w="689"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1.0</w:t>
            </w:r>
          </w:p>
        </w:tc>
      </w:tr>
      <w:tr>
        <w:tblPrEx>
          <w:tblCellMar>
            <w:top w:w="0" w:type="dxa"/>
            <w:left w:w="108" w:type="dxa"/>
            <w:bottom w:w="0" w:type="dxa"/>
            <w:right w:w="108" w:type="dxa"/>
          </w:tblCellMar>
        </w:tblPrEx>
        <w:trPr>
          <w:trHeight w:val="454" w:hRule="atLeast"/>
          <w:jc w:val="center"/>
        </w:trPr>
        <w:tc>
          <w:tcPr>
            <w:tcW w:w="53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2</w:t>
            </w:r>
          </w:p>
        </w:tc>
        <w:tc>
          <w:tcPr>
            <w:tcW w:w="1665" w:type="dxa"/>
            <w:tcBorders>
              <w:top w:val="nil"/>
              <w:left w:val="single" w:color="auto" w:sz="4" w:space="0"/>
              <w:bottom w:val="single" w:color="000000" w:sz="4" w:space="0"/>
              <w:right w:val="single" w:color="auto" w:sz="4" w:space="0"/>
            </w:tcBorders>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color w:val="000000" w:themeColor="text1"/>
                <w:kern w:val="0"/>
                <w:sz w:val="28"/>
                <w:szCs w:val="30"/>
                <w14:textFill>
                  <w14:solidFill>
                    <w14:schemeClr w14:val="tx1"/>
                  </w14:solidFill>
                </w14:textFill>
              </w:rPr>
              <w:t>洸</w:t>
            </w:r>
            <w:r>
              <w:rPr>
                <w:rFonts w:ascii="Times New Roman" w:hAnsi="Times New Roman" w:eastAsia="方正仿宋简体"/>
                <w:color w:val="000000" w:themeColor="text1"/>
                <w:kern w:val="0"/>
                <w:sz w:val="28"/>
                <w:szCs w:val="30"/>
                <w14:textFill>
                  <w14:solidFill>
                    <w14:schemeClr w14:val="tx1"/>
                  </w14:solidFill>
                </w14:textFill>
              </w:rPr>
              <w:t>府河</w:t>
            </w:r>
          </w:p>
        </w:tc>
        <w:tc>
          <w:tcPr>
            <w:tcW w:w="1304" w:type="dxa"/>
            <w:tcBorders>
              <w:top w:val="nil"/>
              <w:left w:val="single" w:color="auto" w:sz="4" w:space="0"/>
              <w:bottom w:val="single" w:color="000000" w:sz="4" w:space="0"/>
              <w:right w:val="single" w:color="auto" w:sz="4" w:space="0"/>
            </w:tcBorders>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东石佛断面</w:t>
            </w:r>
          </w:p>
        </w:tc>
        <w:tc>
          <w:tcPr>
            <w:tcW w:w="79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国控</w:t>
            </w:r>
          </w:p>
        </w:tc>
        <w:tc>
          <w:tcPr>
            <w:tcW w:w="685"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12</w:t>
            </w:r>
          </w:p>
        </w:tc>
        <w:tc>
          <w:tcPr>
            <w:tcW w:w="67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12</w:t>
            </w:r>
          </w:p>
        </w:tc>
        <w:tc>
          <w:tcPr>
            <w:tcW w:w="651"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w:t>
            </w:r>
          </w:p>
        </w:tc>
        <w:tc>
          <w:tcPr>
            <w:tcW w:w="626"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1.0</w:t>
            </w:r>
          </w:p>
        </w:tc>
        <w:tc>
          <w:tcPr>
            <w:tcW w:w="614"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1.0</w:t>
            </w:r>
          </w:p>
        </w:tc>
        <w:tc>
          <w:tcPr>
            <w:tcW w:w="689"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1.0</w:t>
            </w:r>
          </w:p>
        </w:tc>
      </w:tr>
      <w:tr>
        <w:tblPrEx>
          <w:tblCellMar>
            <w:top w:w="0" w:type="dxa"/>
            <w:left w:w="108" w:type="dxa"/>
            <w:bottom w:w="0" w:type="dxa"/>
            <w:right w:w="108" w:type="dxa"/>
          </w:tblCellMar>
        </w:tblPrEx>
        <w:trPr>
          <w:trHeight w:val="454" w:hRule="atLeast"/>
          <w:jc w:val="center"/>
        </w:trPr>
        <w:tc>
          <w:tcPr>
            <w:tcW w:w="53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3</w:t>
            </w:r>
          </w:p>
        </w:tc>
        <w:tc>
          <w:tcPr>
            <w:tcW w:w="1665" w:type="dxa"/>
            <w:tcBorders>
              <w:top w:val="nil"/>
              <w:left w:val="single" w:color="auto" w:sz="4" w:space="0"/>
              <w:bottom w:val="single" w:color="000000" w:sz="4" w:space="0"/>
              <w:right w:val="single" w:color="auto" w:sz="4" w:space="0"/>
            </w:tcBorders>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泗河</w:t>
            </w:r>
          </w:p>
        </w:tc>
        <w:tc>
          <w:tcPr>
            <w:tcW w:w="1304" w:type="dxa"/>
            <w:tcBorders>
              <w:top w:val="nil"/>
              <w:left w:val="single" w:color="auto" w:sz="4" w:space="0"/>
              <w:bottom w:val="single" w:color="000000" w:sz="4" w:space="0"/>
              <w:right w:val="single" w:color="auto" w:sz="4" w:space="0"/>
            </w:tcBorders>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尹沟断面</w:t>
            </w:r>
          </w:p>
        </w:tc>
        <w:tc>
          <w:tcPr>
            <w:tcW w:w="79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国控</w:t>
            </w:r>
          </w:p>
        </w:tc>
        <w:tc>
          <w:tcPr>
            <w:tcW w:w="685"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12</w:t>
            </w:r>
          </w:p>
        </w:tc>
        <w:tc>
          <w:tcPr>
            <w:tcW w:w="67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12</w:t>
            </w:r>
          </w:p>
        </w:tc>
        <w:tc>
          <w:tcPr>
            <w:tcW w:w="651"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w:t>
            </w:r>
          </w:p>
        </w:tc>
        <w:tc>
          <w:tcPr>
            <w:tcW w:w="626"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1.0</w:t>
            </w:r>
          </w:p>
        </w:tc>
        <w:tc>
          <w:tcPr>
            <w:tcW w:w="614"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1.0</w:t>
            </w:r>
          </w:p>
        </w:tc>
        <w:tc>
          <w:tcPr>
            <w:tcW w:w="689"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1.0</w:t>
            </w:r>
          </w:p>
        </w:tc>
      </w:tr>
    </w:tbl>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评价区域水环境承载力指数大小，将评价结果划分为超载、临界超载、未超载三种类型。当Rc＜70%时，判定该区域为超载状态；当70%≤Rc＜90%时，判定该区域为临界超载状态；当Rc≥90%时，判定该区域为未超载状态。从表3.2-3可以看出，监测断面水环境承载力评价为“未超载”。</w:t>
      </w:r>
    </w:p>
    <w:p>
      <w:pPr>
        <w:pStyle w:val="4"/>
        <w:spacing w:before="0" w:after="0" w:line="560" w:lineRule="exact"/>
        <w:jc w:val="left"/>
        <w:rPr>
          <w:rFonts w:ascii="Times New Roman" w:hAnsi="Times New Roman" w:eastAsia="方正仿宋简体"/>
          <w:b w:val="0"/>
          <w:color w:val="000000" w:themeColor="text1"/>
          <w14:textFill>
            <w14:solidFill>
              <w14:schemeClr w14:val="tx1"/>
            </w14:solidFill>
          </w14:textFill>
        </w:rPr>
      </w:pPr>
      <w:bookmarkStart w:id="240" w:name="_Toc119856300"/>
      <w:bookmarkStart w:id="241" w:name="_Toc119835910"/>
      <w:bookmarkStart w:id="242" w:name="_Toc119843233"/>
      <w:bookmarkStart w:id="243" w:name="_Toc119849228"/>
      <w:bookmarkStart w:id="244" w:name="_Toc119856688"/>
      <w:bookmarkStart w:id="245" w:name="_Toc138888983"/>
      <w:r>
        <w:rPr>
          <w:rFonts w:ascii="Times New Roman" w:hAnsi="Times New Roman" w:eastAsia="方正仿宋简体"/>
          <w:color w:val="000000" w:themeColor="text1"/>
          <w14:textFill>
            <w14:solidFill>
              <w14:schemeClr w14:val="tx1"/>
            </w14:solidFill>
          </w14:textFill>
        </w:rPr>
        <w:t>3.2.6区域养殖总量控制</w:t>
      </w:r>
      <w:bookmarkEnd w:id="240"/>
      <w:bookmarkEnd w:id="241"/>
      <w:bookmarkEnd w:id="242"/>
      <w:bookmarkEnd w:id="243"/>
      <w:bookmarkEnd w:id="244"/>
      <w:bookmarkEnd w:id="245"/>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畜禽粪污土地及水环境承载力测算结果，济宁太白湖新区畜禽粪便土地环境承载力为467928头猪当量，畜禽养殖土地承载力阈值（区域土地可承载猪当量的80%计）为374342.0514头猪当量，2020年养殖猪当量为78098.8头，占环境承载力阈值的20.86%。本规划对济宁太白湖新区各镇街环境承载力评价，具体如下：</w:t>
      </w:r>
    </w:p>
    <w:p>
      <w:pPr>
        <w:spacing w:line="560" w:lineRule="exact"/>
        <w:ind w:firstLine="56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评价方式：按现有猪当量占土地可承载猪当量的比例进行评价；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评价等级：比例＜80%为“未超载”，80%≤比例＜100%为“临界超载”，比例≥100%为“超载”。</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经分析，济宁太白湖新区现状养殖规模总体上土地承载力充足，总体评价等级为“未超载”，2个镇街均为“未超载”，土地承载力充足，畜禽养殖也发展空间较大。济宁太白湖新区各镇街养殖现状及土地承载力评价见表3.2-6。</w:t>
      </w:r>
    </w:p>
    <w:p>
      <w:pPr>
        <w:spacing w:line="560" w:lineRule="exact"/>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表3.2-6 济宁太白湖新区各镇街养殖现状及土地承载力评价表</w:t>
      </w:r>
    </w:p>
    <w:tbl>
      <w:tblPr>
        <w:tblStyle w:val="27"/>
        <w:tblW w:w="8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134"/>
        <w:gridCol w:w="1361"/>
        <w:gridCol w:w="1928"/>
        <w:gridCol w:w="1304"/>
        <w:gridCol w:w="1100"/>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680"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序号</w:t>
            </w:r>
          </w:p>
        </w:tc>
        <w:tc>
          <w:tcPr>
            <w:tcW w:w="1134"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镇街</w:t>
            </w:r>
          </w:p>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名称</w:t>
            </w:r>
          </w:p>
        </w:tc>
        <w:tc>
          <w:tcPr>
            <w:tcW w:w="1361" w:type="dxa"/>
            <w:shd w:val="clear" w:color="auto" w:fill="auto"/>
            <w:noWrap/>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现有猪当量（头）</w:t>
            </w:r>
          </w:p>
        </w:tc>
        <w:tc>
          <w:tcPr>
            <w:tcW w:w="1928" w:type="dxa"/>
            <w:shd w:val="clear" w:color="auto" w:fill="auto"/>
            <w:noWrap/>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土地可承载猪当量（头）</w:t>
            </w:r>
          </w:p>
        </w:tc>
        <w:tc>
          <w:tcPr>
            <w:tcW w:w="1304" w:type="dxa"/>
            <w:shd w:val="clear" w:color="auto" w:fill="auto"/>
            <w:noWrap/>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剩余猪当量（头）</w:t>
            </w:r>
          </w:p>
        </w:tc>
        <w:tc>
          <w:tcPr>
            <w:tcW w:w="1100" w:type="dxa"/>
            <w:shd w:val="clear" w:color="auto" w:fill="auto"/>
            <w:noWrap/>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承载占比</w:t>
            </w:r>
          </w:p>
        </w:tc>
        <w:tc>
          <w:tcPr>
            <w:tcW w:w="1100" w:type="dxa"/>
            <w:shd w:val="clear" w:color="auto" w:fill="auto"/>
            <w:noWrap/>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承载状态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w:t>
            </w:r>
          </w:p>
        </w:tc>
        <w:tc>
          <w:tcPr>
            <w:tcW w:w="1134"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许庄</w:t>
            </w:r>
          </w:p>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街道</w:t>
            </w:r>
          </w:p>
        </w:tc>
        <w:tc>
          <w:tcPr>
            <w:tcW w:w="1361"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w:t>
            </w:r>
          </w:p>
        </w:tc>
        <w:tc>
          <w:tcPr>
            <w:tcW w:w="1928"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w:t>
            </w:r>
          </w:p>
        </w:tc>
        <w:tc>
          <w:tcPr>
            <w:tcW w:w="1304"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w:t>
            </w:r>
          </w:p>
        </w:tc>
        <w:tc>
          <w:tcPr>
            <w:tcW w:w="1100"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w:t>
            </w:r>
          </w:p>
        </w:tc>
        <w:tc>
          <w:tcPr>
            <w:tcW w:w="1100" w:type="dxa"/>
            <w:shd w:val="clear" w:color="auto" w:fill="auto"/>
            <w:noWrap/>
            <w:vAlign w:val="center"/>
          </w:tcPr>
          <w:p>
            <w:pPr>
              <w:widowControl/>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未超载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2</w:t>
            </w:r>
          </w:p>
        </w:tc>
        <w:tc>
          <w:tcPr>
            <w:tcW w:w="1134"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石桥镇</w:t>
            </w:r>
          </w:p>
        </w:tc>
        <w:tc>
          <w:tcPr>
            <w:tcW w:w="1361"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78098.8</w:t>
            </w:r>
          </w:p>
        </w:tc>
        <w:tc>
          <w:tcPr>
            <w:tcW w:w="1928"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467928</w:t>
            </w:r>
          </w:p>
        </w:tc>
        <w:tc>
          <w:tcPr>
            <w:tcW w:w="1304"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389829</w:t>
            </w:r>
          </w:p>
        </w:tc>
        <w:tc>
          <w:tcPr>
            <w:tcW w:w="1100"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16.69%</w:t>
            </w:r>
          </w:p>
        </w:tc>
        <w:tc>
          <w:tcPr>
            <w:tcW w:w="1100" w:type="dxa"/>
            <w:shd w:val="clear" w:color="auto" w:fill="auto"/>
            <w:noWrap/>
            <w:vAlign w:val="center"/>
          </w:tcPr>
          <w:p>
            <w:pPr>
              <w:widowControl/>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未超载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4" w:type="dxa"/>
            <w:gridSpan w:val="2"/>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合计</w:t>
            </w:r>
          </w:p>
        </w:tc>
        <w:tc>
          <w:tcPr>
            <w:tcW w:w="1361"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78098.8</w:t>
            </w:r>
          </w:p>
        </w:tc>
        <w:tc>
          <w:tcPr>
            <w:tcW w:w="1928"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467928</w:t>
            </w:r>
          </w:p>
        </w:tc>
        <w:tc>
          <w:tcPr>
            <w:tcW w:w="1304"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389829</w:t>
            </w:r>
          </w:p>
        </w:tc>
        <w:tc>
          <w:tcPr>
            <w:tcW w:w="1100"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16.69%</w:t>
            </w:r>
          </w:p>
        </w:tc>
        <w:tc>
          <w:tcPr>
            <w:tcW w:w="1100"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未超载</w:t>
            </w:r>
          </w:p>
        </w:tc>
      </w:tr>
    </w:tbl>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246" w:name="_Toc138888984"/>
      <w:bookmarkStart w:id="247" w:name="_Toc119843234"/>
      <w:bookmarkStart w:id="248" w:name="_Toc119835911"/>
      <w:bookmarkStart w:id="249" w:name="_Toc119856301"/>
      <w:bookmarkStart w:id="250" w:name="_Toc119849229"/>
      <w:bookmarkStart w:id="251" w:name="_Toc119856689"/>
      <w:r>
        <w:rPr>
          <w:rFonts w:ascii="Times New Roman" w:hAnsi="Times New Roman" w:eastAsia="方正仿宋简体"/>
          <w:color w:val="000000" w:themeColor="text1"/>
          <w14:textFill>
            <w14:solidFill>
              <w14:schemeClr w14:val="tx1"/>
            </w14:solidFill>
          </w14:textFill>
        </w:rPr>
        <w:t>3.2.7“十四五”末土地承载力预测分析</w:t>
      </w:r>
      <w:bookmarkEnd w:id="246"/>
    </w:p>
    <w:p>
      <w:pPr>
        <w:pStyle w:val="5"/>
        <w:spacing w:before="0" w:after="0" w:line="560" w:lineRule="exact"/>
        <w:jc w:val="left"/>
        <w:rPr>
          <w:rFonts w:ascii="Times New Roman" w:hAnsi="Times New Roman" w:eastAsia="方正仿宋简体"/>
          <w:b w:val="0"/>
          <w:bCs w:val="0"/>
          <w:color w:val="000000" w:themeColor="text1"/>
          <w:sz w:val="32"/>
          <w:szCs w:val="32"/>
          <w14:textFill>
            <w14:solidFill>
              <w14:schemeClr w14:val="tx1"/>
            </w14:solidFill>
          </w14:textFill>
        </w:rPr>
      </w:pPr>
      <w:r>
        <w:rPr>
          <w:rFonts w:ascii="Times New Roman" w:hAnsi="Times New Roman" w:eastAsia="方正仿宋简体"/>
          <w:b w:val="0"/>
          <w:bCs w:val="0"/>
          <w:color w:val="000000" w:themeColor="text1"/>
          <w:sz w:val="32"/>
          <w:szCs w:val="32"/>
          <w14:textFill>
            <w14:solidFill>
              <w14:schemeClr w14:val="tx1"/>
            </w14:solidFill>
          </w14:textFill>
        </w:rPr>
        <w:t>3.2.7.1种养业发展预测</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太白湖新区国民经济和社会发展第十四个五年规划和2035年远景目标纲要》及《济宁市“十四五”推进农业农村现代化规划》主要目标中相关指标规划及近五年种植业发展情况分析，济宁太白湖新区“十四五”期间粮食产量年均增长率为1%，生猪、肉牛、羊、家禽养殖“十四五”末存栏情况引用《太白湖新区国民经济和社会发展第十四个五年规划和2035年远景目标纲要》中未做畜禽养殖规划数据。太白湖新区作为经济功能区，畜禽养殖无增长规划要求，延续现状养殖量。</w:t>
      </w:r>
    </w:p>
    <w:p>
      <w:pPr>
        <w:spacing w:line="560" w:lineRule="exact"/>
        <w:jc w:val="center"/>
        <w:rPr>
          <w:rFonts w:ascii="Times New Roman" w:hAnsi="Times New Roman" w:eastAsia="方正仿宋简体"/>
          <w:b/>
          <w:color w:val="000000" w:themeColor="text1"/>
          <w:kern w:val="0"/>
          <w:sz w:val="32"/>
          <w:szCs w:val="32"/>
          <w14:textFill>
            <w14:solidFill>
              <w14:schemeClr w14:val="tx1"/>
            </w14:solidFill>
          </w14:textFill>
        </w:rPr>
      </w:pPr>
      <w:r>
        <w:rPr>
          <w:rFonts w:ascii="Times New Roman" w:hAnsi="Times New Roman" w:eastAsia="方正仿宋简体"/>
          <w:b/>
          <w:color w:val="000000" w:themeColor="text1"/>
          <w:kern w:val="0"/>
          <w:sz w:val="32"/>
          <w:szCs w:val="32"/>
          <w14:textFill>
            <w14:solidFill>
              <w14:schemeClr w14:val="tx1"/>
            </w14:solidFill>
          </w14:textFill>
        </w:rPr>
        <w:t>表3.2-7  济宁太白湖新区各镇街“十四五”末畜禽养殖预测一览表</w:t>
      </w:r>
    </w:p>
    <w:tbl>
      <w:tblPr>
        <w:tblStyle w:val="27"/>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304"/>
        <w:gridCol w:w="1304"/>
        <w:gridCol w:w="1304"/>
        <w:gridCol w:w="1304"/>
        <w:gridCol w:w="1304"/>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60" w:type="dxa"/>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序号</w:t>
            </w:r>
          </w:p>
        </w:tc>
        <w:tc>
          <w:tcPr>
            <w:tcW w:w="1304"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镇街</w:t>
            </w:r>
          </w:p>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名称</w:t>
            </w:r>
          </w:p>
        </w:tc>
        <w:tc>
          <w:tcPr>
            <w:tcW w:w="1304"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生猪折算</w:t>
            </w:r>
          </w:p>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猪当量</w:t>
            </w:r>
          </w:p>
        </w:tc>
        <w:tc>
          <w:tcPr>
            <w:tcW w:w="1304"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牛折算</w:t>
            </w:r>
          </w:p>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猪当量</w:t>
            </w:r>
          </w:p>
        </w:tc>
        <w:tc>
          <w:tcPr>
            <w:tcW w:w="1304"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羊折算</w:t>
            </w:r>
          </w:p>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猪当量</w:t>
            </w:r>
          </w:p>
        </w:tc>
        <w:tc>
          <w:tcPr>
            <w:tcW w:w="1304"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禽类折算</w:t>
            </w:r>
          </w:p>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猪当量</w:t>
            </w:r>
          </w:p>
        </w:tc>
        <w:tc>
          <w:tcPr>
            <w:tcW w:w="1417"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猪当量折算量（猪当量）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vAlign w:val="center"/>
          </w:tcPr>
          <w:p>
            <w:pPr>
              <w:snapToGrid w:val="0"/>
              <w:jc w:val="center"/>
              <w:rPr>
                <w:rFonts w:ascii="Times New Roman" w:hAnsi="Times New Roman" w:eastAsia="方正仿宋简体"/>
                <w:color w:val="000000" w:themeColor="text1"/>
                <w:sz w:val="28"/>
                <w:szCs w:val="28"/>
                <w14:textFill>
                  <w14:solidFill>
                    <w14:schemeClr w14:val="tx1"/>
                  </w14:solidFill>
                </w14:textFill>
              </w:rPr>
            </w:pPr>
            <w:r>
              <w:rPr>
                <w:rFonts w:ascii="Times New Roman" w:hAnsi="Times New Roman" w:eastAsia="方正仿宋简体"/>
                <w:color w:val="000000" w:themeColor="text1"/>
                <w:sz w:val="28"/>
                <w:szCs w:val="28"/>
                <w14:textFill>
                  <w14:solidFill>
                    <w14:schemeClr w14:val="tx1"/>
                  </w14:solidFill>
                </w14:textFill>
              </w:rPr>
              <w:t>1</w:t>
            </w:r>
          </w:p>
        </w:tc>
        <w:tc>
          <w:tcPr>
            <w:tcW w:w="1304" w:type="dxa"/>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许庄</w:t>
            </w:r>
          </w:p>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街道</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w:t>
            </w:r>
          </w:p>
        </w:tc>
        <w:tc>
          <w:tcPr>
            <w:tcW w:w="1417"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vAlign w:val="center"/>
          </w:tcPr>
          <w:p>
            <w:pPr>
              <w:snapToGrid w:val="0"/>
              <w:jc w:val="center"/>
              <w:rPr>
                <w:rFonts w:ascii="Times New Roman" w:hAnsi="Times New Roman" w:eastAsia="方正仿宋简体"/>
                <w:color w:val="000000" w:themeColor="text1"/>
                <w:sz w:val="28"/>
                <w:szCs w:val="28"/>
                <w14:textFill>
                  <w14:solidFill>
                    <w14:schemeClr w14:val="tx1"/>
                  </w14:solidFill>
                </w14:textFill>
              </w:rPr>
            </w:pPr>
            <w:r>
              <w:rPr>
                <w:rFonts w:ascii="Times New Roman" w:hAnsi="Times New Roman" w:eastAsia="方正仿宋简体"/>
                <w:color w:val="000000" w:themeColor="text1"/>
                <w:sz w:val="28"/>
                <w:szCs w:val="28"/>
                <w14:textFill>
                  <w14:solidFill>
                    <w14:schemeClr w14:val="tx1"/>
                  </w14:solidFill>
                </w14:textFill>
              </w:rPr>
              <w:t>2</w:t>
            </w:r>
          </w:p>
        </w:tc>
        <w:tc>
          <w:tcPr>
            <w:tcW w:w="1304" w:type="dxa"/>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石桥镇</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44016</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20500</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322.8</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13260</w:t>
            </w:r>
          </w:p>
        </w:tc>
        <w:tc>
          <w:tcPr>
            <w:tcW w:w="1417"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78098.8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gridSpan w:val="2"/>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合计</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44016</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20500</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322.8</w:t>
            </w:r>
          </w:p>
        </w:tc>
        <w:tc>
          <w:tcPr>
            <w:tcW w:w="1304"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13260</w:t>
            </w:r>
          </w:p>
        </w:tc>
        <w:tc>
          <w:tcPr>
            <w:tcW w:w="1417"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78098.8</w:t>
            </w:r>
          </w:p>
        </w:tc>
      </w:tr>
    </w:tbl>
    <w:p>
      <w:pPr>
        <w:spacing w:line="560" w:lineRule="exact"/>
        <w:jc w:val="center"/>
        <w:rPr>
          <w:rFonts w:ascii="Times New Roman" w:hAnsi="Times New Roman" w:eastAsia="方正仿宋简体"/>
          <w:b/>
          <w:color w:val="000000" w:themeColor="text1"/>
          <w:kern w:val="0"/>
          <w:sz w:val="32"/>
          <w:szCs w:val="32"/>
          <w14:textFill>
            <w14:solidFill>
              <w14:schemeClr w14:val="tx1"/>
            </w14:solidFill>
          </w14:textFill>
        </w:rPr>
      </w:pPr>
      <w:r>
        <w:rPr>
          <w:rFonts w:ascii="Times New Roman" w:hAnsi="Times New Roman" w:eastAsia="方正仿宋简体"/>
          <w:b/>
          <w:color w:val="000000" w:themeColor="text1"/>
          <w:kern w:val="0"/>
          <w:sz w:val="32"/>
          <w:szCs w:val="32"/>
          <w14:textFill>
            <w14:solidFill>
              <w14:schemeClr w14:val="tx1"/>
            </w14:solidFill>
          </w14:textFill>
        </w:rPr>
        <w:t>表3.2-8 济宁太白湖新区各镇街“十四五”末主要种植作物产量预测一览表</w:t>
      </w:r>
    </w:p>
    <w:tbl>
      <w:tblPr>
        <w:tblStyle w:val="27"/>
        <w:tblW w:w="5000" w:type="pct"/>
        <w:tblInd w:w="0" w:type="dxa"/>
        <w:tblLayout w:type="autofit"/>
        <w:tblCellMar>
          <w:top w:w="0" w:type="dxa"/>
          <w:left w:w="108" w:type="dxa"/>
          <w:bottom w:w="0" w:type="dxa"/>
          <w:right w:w="108" w:type="dxa"/>
        </w:tblCellMar>
      </w:tblPr>
      <w:tblGrid>
        <w:gridCol w:w="3245"/>
        <w:gridCol w:w="2423"/>
        <w:gridCol w:w="3278"/>
      </w:tblGrid>
      <w:tr>
        <w:tblPrEx>
          <w:tblCellMar>
            <w:top w:w="0" w:type="dxa"/>
            <w:left w:w="108" w:type="dxa"/>
            <w:bottom w:w="0" w:type="dxa"/>
            <w:right w:w="108" w:type="dxa"/>
          </w:tblCellMar>
        </w:tblPrEx>
        <w:trPr>
          <w:trHeight w:val="986" w:hRule="atLeast"/>
        </w:trPr>
        <w:tc>
          <w:tcPr>
            <w:tcW w:w="316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bCs/>
                <w:color w:val="000000"/>
                <w:kern w:val="0"/>
                <w:sz w:val="28"/>
                <w:szCs w:val="30"/>
              </w:rPr>
            </w:pPr>
            <w:r>
              <w:rPr>
                <w:rFonts w:ascii="Times New Roman" w:hAnsi="Times New Roman" w:eastAsia="方正仿宋简体"/>
                <w:b/>
                <w:bCs/>
                <w:color w:val="000000"/>
                <w:kern w:val="0"/>
                <w:sz w:val="28"/>
                <w:szCs w:val="30"/>
              </w:rPr>
              <w:t>作物种类</w:t>
            </w:r>
          </w:p>
        </w:tc>
        <w:tc>
          <w:tcPr>
            <w:tcW w:w="1832"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b/>
                <w:bCs/>
                <w:color w:val="000000"/>
                <w:kern w:val="0"/>
                <w:sz w:val="28"/>
                <w:szCs w:val="30"/>
              </w:rPr>
            </w:pPr>
            <w:r>
              <w:rPr>
                <w:rFonts w:ascii="Times New Roman" w:hAnsi="Times New Roman" w:eastAsia="方正仿宋简体"/>
                <w:b/>
                <w:bCs/>
                <w:color w:val="000000"/>
                <w:kern w:val="0"/>
                <w:sz w:val="28"/>
                <w:szCs w:val="30"/>
              </w:rPr>
              <w:t>2025年产量（t）</w:t>
            </w:r>
          </w:p>
        </w:tc>
      </w:tr>
      <w:tr>
        <w:tblPrEx>
          <w:tblCellMar>
            <w:top w:w="0" w:type="dxa"/>
            <w:left w:w="108" w:type="dxa"/>
            <w:bottom w:w="0" w:type="dxa"/>
            <w:right w:w="108" w:type="dxa"/>
          </w:tblCellMar>
        </w:tblPrEx>
        <w:trPr>
          <w:trHeight w:val="270" w:hRule="atLeast"/>
        </w:trPr>
        <w:tc>
          <w:tcPr>
            <w:tcW w:w="1814" w:type="pct"/>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30"/>
              </w:rPr>
            </w:pPr>
            <w:r>
              <w:rPr>
                <w:rFonts w:ascii="Times New Roman" w:hAnsi="Times New Roman" w:eastAsia="方正仿宋简体"/>
                <w:color w:val="000000"/>
                <w:kern w:val="0"/>
                <w:sz w:val="28"/>
                <w:szCs w:val="30"/>
              </w:rPr>
              <w:t>大田作物</w:t>
            </w: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30"/>
              </w:rPr>
            </w:pPr>
            <w:r>
              <w:rPr>
                <w:rFonts w:ascii="Times New Roman" w:hAnsi="Times New Roman" w:eastAsia="方正仿宋简体"/>
                <w:color w:val="000000"/>
                <w:kern w:val="0"/>
                <w:sz w:val="28"/>
                <w:szCs w:val="30"/>
              </w:rPr>
              <w:t>小麦</w:t>
            </w:r>
          </w:p>
        </w:tc>
        <w:tc>
          <w:tcPr>
            <w:tcW w:w="1832" w:type="pct"/>
            <w:tcBorders>
              <w:top w:val="nil"/>
              <w:left w:val="nil"/>
              <w:bottom w:val="single" w:color="auto" w:sz="4" w:space="0"/>
              <w:right w:val="single" w:color="auto" w:sz="4" w:space="0"/>
            </w:tcBorders>
            <w:shd w:val="clear" w:color="auto" w:fill="auto"/>
            <w:vAlign w:val="center"/>
          </w:tcPr>
          <w:p>
            <w:pPr>
              <w:snapToGrid w:val="0"/>
              <w:jc w:val="center"/>
              <w:rPr>
                <w:rFonts w:ascii="Times New Roman" w:hAnsi="Times New Roman" w:eastAsia="方正仿宋简体"/>
                <w:sz w:val="28"/>
                <w:szCs w:val="30"/>
              </w:rPr>
            </w:pPr>
            <w:r>
              <w:rPr>
                <w:rFonts w:ascii="Times New Roman" w:hAnsi="Times New Roman" w:eastAsia="方正仿宋简体"/>
                <w:sz w:val="28"/>
                <w:szCs w:val="30"/>
              </w:rPr>
              <w:t>42805.36</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30"/>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30"/>
              </w:rPr>
            </w:pPr>
            <w:r>
              <w:rPr>
                <w:rFonts w:ascii="Times New Roman" w:hAnsi="Times New Roman" w:eastAsia="方正仿宋简体"/>
                <w:color w:val="000000"/>
                <w:kern w:val="0"/>
                <w:sz w:val="28"/>
                <w:szCs w:val="30"/>
              </w:rPr>
              <w:t>玉米</w:t>
            </w:r>
          </w:p>
        </w:tc>
        <w:tc>
          <w:tcPr>
            <w:tcW w:w="1832" w:type="pct"/>
            <w:tcBorders>
              <w:top w:val="nil"/>
              <w:left w:val="nil"/>
              <w:bottom w:val="single" w:color="auto" w:sz="4" w:space="0"/>
              <w:right w:val="single" w:color="auto" w:sz="4" w:space="0"/>
            </w:tcBorders>
            <w:shd w:val="clear" w:color="auto" w:fill="auto"/>
            <w:vAlign w:val="center"/>
          </w:tcPr>
          <w:p>
            <w:pPr>
              <w:snapToGrid w:val="0"/>
              <w:jc w:val="center"/>
              <w:rPr>
                <w:rFonts w:ascii="Times New Roman" w:hAnsi="Times New Roman" w:eastAsia="方正仿宋简体"/>
                <w:sz w:val="28"/>
                <w:szCs w:val="30"/>
              </w:rPr>
            </w:pPr>
            <w:r>
              <w:rPr>
                <w:rFonts w:ascii="Times New Roman" w:hAnsi="Times New Roman" w:eastAsia="方正仿宋简体"/>
                <w:sz w:val="28"/>
                <w:szCs w:val="30"/>
              </w:rPr>
              <w:t>19358.38</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30"/>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30"/>
              </w:rPr>
            </w:pPr>
            <w:r>
              <w:rPr>
                <w:rFonts w:ascii="Times New Roman" w:hAnsi="Times New Roman" w:eastAsia="方正仿宋简体"/>
                <w:color w:val="000000"/>
                <w:kern w:val="0"/>
                <w:sz w:val="28"/>
                <w:szCs w:val="30"/>
              </w:rPr>
              <w:t>大豆</w:t>
            </w:r>
          </w:p>
        </w:tc>
        <w:tc>
          <w:tcPr>
            <w:tcW w:w="1832" w:type="pct"/>
            <w:tcBorders>
              <w:top w:val="nil"/>
              <w:left w:val="nil"/>
              <w:bottom w:val="single" w:color="auto" w:sz="4" w:space="0"/>
              <w:right w:val="single" w:color="auto" w:sz="4" w:space="0"/>
            </w:tcBorders>
            <w:shd w:val="clear" w:color="auto" w:fill="auto"/>
            <w:vAlign w:val="center"/>
          </w:tcPr>
          <w:p>
            <w:pPr>
              <w:snapToGrid w:val="0"/>
              <w:jc w:val="center"/>
              <w:rPr>
                <w:rFonts w:ascii="Times New Roman" w:hAnsi="Times New Roman" w:eastAsia="方正仿宋简体"/>
                <w:sz w:val="28"/>
                <w:szCs w:val="30"/>
              </w:rPr>
            </w:pPr>
            <w:r>
              <w:rPr>
                <w:rFonts w:ascii="Times New Roman" w:hAnsi="Times New Roman" w:eastAsia="方正仿宋简体"/>
                <w:sz w:val="28"/>
                <w:szCs w:val="30"/>
              </w:rPr>
              <w:t>23446.98</w:t>
            </w:r>
          </w:p>
        </w:tc>
      </w:tr>
      <w:tr>
        <w:tblPrEx>
          <w:tblCellMar>
            <w:top w:w="0" w:type="dxa"/>
            <w:left w:w="108" w:type="dxa"/>
            <w:bottom w:w="0" w:type="dxa"/>
            <w:right w:w="108" w:type="dxa"/>
          </w:tblCellMar>
        </w:tblPrEx>
        <w:trPr>
          <w:trHeight w:val="270" w:hRule="atLeast"/>
        </w:trPr>
        <w:tc>
          <w:tcPr>
            <w:tcW w:w="1814" w:type="pct"/>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30"/>
              </w:rPr>
            </w:pPr>
            <w:r>
              <w:rPr>
                <w:rFonts w:ascii="Times New Roman" w:hAnsi="Times New Roman" w:eastAsia="方正仿宋简体"/>
                <w:color w:val="000000"/>
                <w:kern w:val="0"/>
                <w:sz w:val="28"/>
                <w:szCs w:val="30"/>
              </w:rPr>
              <w:t>蔬菜</w:t>
            </w: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30"/>
              </w:rPr>
            </w:pPr>
            <w:r>
              <w:rPr>
                <w:rFonts w:ascii="Times New Roman" w:hAnsi="Times New Roman" w:eastAsia="方正仿宋简体"/>
                <w:color w:val="000000"/>
                <w:kern w:val="0"/>
                <w:sz w:val="28"/>
                <w:szCs w:val="30"/>
              </w:rPr>
              <w:t>黄瓜</w:t>
            </w:r>
          </w:p>
        </w:tc>
        <w:tc>
          <w:tcPr>
            <w:tcW w:w="1832" w:type="pct"/>
            <w:tcBorders>
              <w:top w:val="nil"/>
              <w:left w:val="nil"/>
              <w:bottom w:val="single" w:color="auto" w:sz="4" w:space="0"/>
              <w:right w:val="single" w:color="auto" w:sz="4" w:space="0"/>
            </w:tcBorders>
            <w:shd w:val="clear" w:color="auto" w:fill="auto"/>
            <w:vAlign w:val="center"/>
          </w:tcPr>
          <w:p>
            <w:pPr>
              <w:snapToGrid w:val="0"/>
              <w:jc w:val="center"/>
              <w:rPr>
                <w:rFonts w:ascii="Times New Roman" w:hAnsi="Times New Roman" w:eastAsia="方正仿宋简体"/>
                <w:sz w:val="28"/>
                <w:szCs w:val="30"/>
              </w:rPr>
            </w:pPr>
            <w:r>
              <w:rPr>
                <w:rFonts w:ascii="Times New Roman" w:hAnsi="Times New Roman" w:eastAsia="方正仿宋简体"/>
                <w:sz w:val="28"/>
                <w:szCs w:val="30"/>
              </w:rPr>
              <w:t>687.36</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30"/>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30"/>
              </w:rPr>
            </w:pPr>
            <w:r>
              <w:rPr>
                <w:rFonts w:ascii="Times New Roman" w:hAnsi="Times New Roman" w:eastAsia="方正仿宋简体"/>
                <w:color w:val="000000"/>
                <w:kern w:val="0"/>
                <w:sz w:val="28"/>
                <w:szCs w:val="30"/>
              </w:rPr>
              <w:t>番茄</w:t>
            </w:r>
          </w:p>
        </w:tc>
        <w:tc>
          <w:tcPr>
            <w:tcW w:w="1832" w:type="pct"/>
            <w:tcBorders>
              <w:top w:val="nil"/>
              <w:left w:val="nil"/>
              <w:bottom w:val="single" w:color="auto" w:sz="4" w:space="0"/>
              <w:right w:val="single" w:color="auto" w:sz="4" w:space="0"/>
            </w:tcBorders>
            <w:shd w:val="clear" w:color="auto" w:fill="auto"/>
            <w:vAlign w:val="center"/>
          </w:tcPr>
          <w:p>
            <w:pPr>
              <w:snapToGrid w:val="0"/>
              <w:jc w:val="center"/>
              <w:rPr>
                <w:rFonts w:ascii="Times New Roman" w:hAnsi="Times New Roman" w:eastAsia="方正仿宋简体"/>
                <w:sz w:val="28"/>
                <w:szCs w:val="30"/>
              </w:rPr>
            </w:pPr>
            <w:r>
              <w:rPr>
                <w:rFonts w:ascii="Times New Roman" w:hAnsi="Times New Roman" w:eastAsia="方正仿宋简体"/>
                <w:sz w:val="28"/>
                <w:szCs w:val="30"/>
              </w:rPr>
              <w:t>1842.42</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30"/>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30"/>
              </w:rPr>
            </w:pPr>
            <w:r>
              <w:rPr>
                <w:rFonts w:ascii="Times New Roman" w:hAnsi="Times New Roman" w:eastAsia="方正仿宋简体"/>
                <w:color w:val="000000"/>
                <w:kern w:val="0"/>
                <w:sz w:val="28"/>
                <w:szCs w:val="30"/>
              </w:rPr>
              <w:t>茄子</w:t>
            </w:r>
          </w:p>
        </w:tc>
        <w:tc>
          <w:tcPr>
            <w:tcW w:w="1832" w:type="pct"/>
            <w:tcBorders>
              <w:top w:val="nil"/>
              <w:left w:val="nil"/>
              <w:bottom w:val="single" w:color="auto" w:sz="4" w:space="0"/>
              <w:right w:val="single" w:color="auto" w:sz="4" w:space="0"/>
            </w:tcBorders>
            <w:shd w:val="clear" w:color="auto" w:fill="auto"/>
            <w:vAlign w:val="center"/>
          </w:tcPr>
          <w:p>
            <w:pPr>
              <w:snapToGrid w:val="0"/>
              <w:jc w:val="center"/>
              <w:rPr>
                <w:rFonts w:ascii="Times New Roman" w:hAnsi="Times New Roman" w:eastAsia="方正仿宋简体"/>
                <w:sz w:val="28"/>
                <w:szCs w:val="30"/>
              </w:rPr>
            </w:pPr>
            <w:r>
              <w:rPr>
                <w:rFonts w:ascii="Times New Roman" w:hAnsi="Times New Roman" w:eastAsia="方正仿宋简体"/>
                <w:sz w:val="28"/>
                <w:szCs w:val="30"/>
              </w:rPr>
              <w:t>311.10</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30"/>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30"/>
              </w:rPr>
            </w:pPr>
            <w:r>
              <w:rPr>
                <w:rFonts w:ascii="Times New Roman" w:hAnsi="Times New Roman" w:eastAsia="方正仿宋简体"/>
                <w:color w:val="000000"/>
                <w:kern w:val="0"/>
                <w:sz w:val="28"/>
                <w:szCs w:val="30"/>
              </w:rPr>
              <w:t>大白菜</w:t>
            </w:r>
          </w:p>
        </w:tc>
        <w:tc>
          <w:tcPr>
            <w:tcW w:w="1832" w:type="pct"/>
            <w:tcBorders>
              <w:top w:val="nil"/>
              <w:left w:val="nil"/>
              <w:bottom w:val="single" w:color="auto" w:sz="4" w:space="0"/>
              <w:right w:val="single" w:color="auto" w:sz="4" w:space="0"/>
            </w:tcBorders>
            <w:shd w:val="clear" w:color="auto" w:fill="auto"/>
            <w:vAlign w:val="center"/>
          </w:tcPr>
          <w:p>
            <w:pPr>
              <w:snapToGrid w:val="0"/>
              <w:jc w:val="center"/>
              <w:rPr>
                <w:rFonts w:ascii="Times New Roman" w:hAnsi="Times New Roman" w:eastAsia="方正仿宋简体"/>
                <w:sz w:val="28"/>
                <w:szCs w:val="30"/>
              </w:rPr>
            </w:pPr>
            <w:r>
              <w:rPr>
                <w:rFonts w:ascii="Times New Roman" w:hAnsi="Times New Roman" w:eastAsia="方正仿宋简体"/>
                <w:sz w:val="28"/>
                <w:szCs w:val="30"/>
              </w:rPr>
              <w:t>820.84</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30"/>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30"/>
              </w:rPr>
            </w:pPr>
            <w:r>
              <w:rPr>
                <w:rFonts w:ascii="Times New Roman" w:hAnsi="Times New Roman" w:eastAsia="方正仿宋简体"/>
                <w:color w:val="000000"/>
                <w:kern w:val="0"/>
                <w:sz w:val="28"/>
                <w:szCs w:val="30"/>
              </w:rPr>
              <w:t>萝卜</w:t>
            </w:r>
          </w:p>
        </w:tc>
        <w:tc>
          <w:tcPr>
            <w:tcW w:w="1832" w:type="pct"/>
            <w:tcBorders>
              <w:top w:val="nil"/>
              <w:left w:val="nil"/>
              <w:bottom w:val="single" w:color="auto" w:sz="4" w:space="0"/>
              <w:right w:val="single" w:color="auto" w:sz="4" w:space="0"/>
            </w:tcBorders>
            <w:shd w:val="clear" w:color="auto" w:fill="auto"/>
            <w:vAlign w:val="center"/>
          </w:tcPr>
          <w:p>
            <w:pPr>
              <w:snapToGrid w:val="0"/>
              <w:jc w:val="center"/>
              <w:rPr>
                <w:rFonts w:ascii="Times New Roman" w:hAnsi="Times New Roman" w:eastAsia="方正仿宋简体"/>
                <w:sz w:val="28"/>
                <w:szCs w:val="30"/>
              </w:rPr>
            </w:pPr>
            <w:r>
              <w:rPr>
                <w:rFonts w:ascii="Times New Roman" w:hAnsi="Times New Roman" w:eastAsia="方正仿宋简体"/>
                <w:sz w:val="28"/>
                <w:szCs w:val="30"/>
              </w:rPr>
              <w:t>240.68</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30"/>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30"/>
              </w:rPr>
            </w:pPr>
            <w:r>
              <w:rPr>
                <w:rFonts w:ascii="Times New Roman" w:hAnsi="Times New Roman" w:eastAsia="方正仿宋简体"/>
                <w:color w:val="000000"/>
                <w:kern w:val="0"/>
                <w:sz w:val="28"/>
                <w:szCs w:val="30"/>
              </w:rPr>
              <w:t>大葱</w:t>
            </w:r>
          </w:p>
        </w:tc>
        <w:tc>
          <w:tcPr>
            <w:tcW w:w="1832" w:type="pct"/>
            <w:tcBorders>
              <w:top w:val="nil"/>
              <w:left w:val="nil"/>
              <w:bottom w:val="single" w:color="auto" w:sz="4" w:space="0"/>
              <w:right w:val="single" w:color="auto" w:sz="4" w:space="0"/>
            </w:tcBorders>
            <w:shd w:val="clear" w:color="auto" w:fill="auto"/>
            <w:vAlign w:val="center"/>
          </w:tcPr>
          <w:p>
            <w:pPr>
              <w:snapToGrid w:val="0"/>
              <w:jc w:val="center"/>
              <w:rPr>
                <w:rFonts w:ascii="Times New Roman" w:hAnsi="Times New Roman" w:eastAsia="方正仿宋简体"/>
                <w:sz w:val="28"/>
                <w:szCs w:val="30"/>
              </w:rPr>
            </w:pPr>
            <w:r>
              <w:rPr>
                <w:rFonts w:ascii="Times New Roman" w:hAnsi="Times New Roman" w:eastAsia="方正仿宋简体"/>
                <w:sz w:val="28"/>
                <w:szCs w:val="30"/>
              </w:rPr>
              <w:t>81.98</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30"/>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30"/>
              </w:rPr>
            </w:pPr>
            <w:r>
              <w:rPr>
                <w:rFonts w:ascii="Times New Roman" w:hAnsi="Times New Roman" w:eastAsia="方正仿宋简体"/>
                <w:color w:val="000000"/>
                <w:kern w:val="0"/>
                <w:sz w:val="28"/>
                <w:szCs w:val="30"/>
              </w:rPr>
              <w:t>大蒜</w:t>
            </w:r>
          </w:p>
        </w:tc>
        <w:tc>
          <w:tcPr>
            <w:tcW w:w="1832" w:type="pct"/>
            <w:tcBorders>
              <w:top w:val="nil"/>
              <w:left w:val="nil"/>
              <w:bottom w:val="single" w:color="auto" w:sz="4" w:space="0"/>
              <w:right w:val="single" w:color="auto" w:sz="4" w:space="0"/>
            </w:tcBorders>
            <w:shd w:val="clear" w:color="auto" w:fill="auto"/>
            <w:vAlign w:val="center"/>
          </w:tcPr>
          <w:p>
            <w:pPr>
              <w:snapToGrid w:val="0"/>
              <w:jc w:val="center"/>
              <w:rPr>
                <w:rFonts w:ascii="Times New Roman" w:hAnsi="Times New Roman" w:eastAsia="方正仿宋简体"/>
                <w:sz w:val="28"/>
                <w:szCs w:val="30"/>
              </w:rPr>
            </w:pPr>
            <w:r>
              <w:rPr>
                <w:rFonts w:ascii="Times New Roman" w:hAnsi="Times New Roman" w:eastAsia="方正仿宋简体"/>
                <w:sz w:val="28"/>
                <w:szCs w:val="30"/>
              </w:rPr>
              <w:t>244.89</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30"/>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30"/>
              </w:rPr>
            </w:pPr>
            <w:r>
              <w:rPr>
                <w:rFonts w:ascii="Times New Roman" w:hAnsi="Times New Roman" w:eastAsia="方正仿宋简体"/>
                <w:color w:val="000000"/>
                <w:kern w:val="0"/>
                <w:sz w:val="28"/>
                <w:szCs w:val="30"/>
              </w:rPr>
              <w:t>青椒</w:t>
            </w:r>
          </w:p>
        </w:tc>
        <w:tc>
          <w:tcPr>
            <w:tcW w:w="1832" w:type="pct"/>
            <w:tcBorders>
              <w:top w:val="nil"/>
              <w:left w:val="nil"/>
              <w:bottom w:val="single" w:color="auto" w:sz="4" w:space="0"/>
              <w:right w:val="single" w:color="auto" w:sz="4" w:space="0"/>
            </w:tcBorders>
            <w:shd w:val="clear" w:color="auto" w:fill="auto"/>
            <w:vAlign w:val="center"/>
          </w:tcPr>
          <w:p>
            <w:pPr>
              <w:snapToGrid w:val="0"/>
              <w:jc w:val="center"/>
              <w:rPr>
                <w:rFonts w:ascii="Times New Roman" w:hAnsi="Times New Roman" w:eastAsia="方正仿宋简体"/>
                <w:sz w:val="28"/>
                <w:szCs w:val="30"/>
              </w:rPr>
            </w:pPr>
            <w:r>
              <w:rPr>
                <w:rFonts w:ascii="Times New Roman" w:hAnsi="Times New Roman" w:eastAsia="方正仿宋简体"/>
                <w:sz w:val="28"/>
                <w:szCs w:val="30"/>
              </w:rPr>
              <w:t>159.75</w:t>
            </w:r>
          </w:p>
        </w:tc>
      </w:tr>
      <w:tr>
        <w:tblPrEx>
          <w:tblCellMar>
            <w:top w:w="0" w:type="dxa"/>
            <w:left w:w="108" w:type="dxa"/>
            <w:bottom w:w="0" w:type="dxa"/>
            <w:right w:w="108" w:type="dxa"/>
          </w:tblCellMar>
        </w:tblPrEx>
        <w:trPr>
          <w:trHeight w:val="270" w:hRule="atLeast"/>
        </w:trPr>
        <w:tc>
          <w:tcPr>
            <w:tcW w:w="1814" w:type="pct"/>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30"/>
              </w:rPr>
            </w:pPr>
            <w:r>
              <w:rPr>
                <w:rFonts w:ascii="Times New Roman" w:hAnsi="Times New Roman" w:eastAsia="方正仿宋简体"/>
                <w:color w:val="000000"/>
                <w:kern w:val="0"/>
                <w:sz w:val="28"/>
                <w:szCs w:val="30"/>
              </w:rPr>
              <w:t>果树</w:t>
            </w: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30"/>
              </w:rPr>
            </w:pPr>
            <w:r>
              <w:rPr>
                <w:rFonts w:ascii="Times New Roman" w:hAnsi="Times New Roman" w:eastAsia="方正仿宋简体"/>
                <w:color w:val="000000"/>
                <w:kern w:val="0"/>
                <w:sz w:val="28"/>
                <w:szCs w:val="30"/>
              </w:rPr>
              <w:t>桃</w:t>
            </w:r>
          </w:p>
        </w:tc>
        <w:tc>
          <w:tcPr>
            <w:tcW w:w="1832" w:type="pct"/>
            <w:tcBorders>
              <w:top w:val="nil"/>
              <w:left w:val="nil"/>
              <w:bottom w:val="single" w:color="auto" w:sz="4" w:space="0"/>
              <w:right w:val="single" w:color="auto" w:sz="4" w:space="0"/>
            </w:tcBorders>
            <w:shd w:val="clear" w:color="auto" w:fill="auto"/>
            <w:vAlign w:val="center"/>
          </w:tcPr>
          <w:p>
            <w:pPr>
              <w:snapToGrid w:val="0"/>
              <w:jc w:val="center"/>
              <w:rPr>
                <w:rFonts w:ascii="Times New Roman" w:hAnsi="Times New Roman" w:eastAsia="方正仿宋简体"/>
                <w:sz w:val="28"/>
                <w:szCs w:val="30"/>
              </w:rPr>
            </w:pPr>
            <w:r>
              <w:rPr>
                <w:rFonts w:ascii="Times New Roman" w:hAnsi="Times New Roman" w:eastAsia="方正仿宋简体"/>
                <w:sz w:val="28"/>
                <w:szCs w:val="30"/>
              </w:rPr>
              <w:t>16.40</w:t>
            </w:r>
          </w:p>
        </w:tc>
      </w:tr>
      <w:tr>
        <w:tblPrEx>
          <w:tblCellMar>
            <w:top w:w="0" w:type="dxa"/>
            <w:left w:w="108" w:type="dxa"/>
            <w:bottom w:w="0" w:type="dxa"/>
            <w:right w:w="108" w:type="dxa"/>
          </w:tblCellMar>
        </w:tblPrEx>
        <w:trPr>
          <w:trHeight w:val="270" w:hRule="atLeast"/>
        </w:trPr>
        <w:tc>
          <w:tcPr>
            <w:tcW w:w="1814" w:type="pct"/>
            <w:vMerge w:val="continue"/>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简体"/>
                <w:color w:val="000000"/>
                <w:kern w:val="0"/>
                <w:sz w:val="28"/>
                <w:szCs w:val="30"/>
              </w:rPr>
            </w:pP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30"/>
              </w:rPr>
            </w:pPr>
            <w:r>
              <w:rPr>
                <w:rFonts w:ascii="Times New Roman" w:hAnsi="Times New Roman" w:eastAsia="方正仿宋简体"/>
                <w:color w:val="000000"/>
                <w:kern w:val="0"/>
                <w:sz w:val="28"/>
                <w:szCs w:val="30"/>
              </w:rPr>
              <w:t>葡萄</w:t>
            </w:r>
          </w:p>
        </w:tc>
        <w:tc>
          <w:tcPr>
            <w:tcW w:w="1832" w:type="pct"/>
            <w:tcBorders>
              <w:top w:val="nil"/>
              <w:left w:val="nil"/>
              <w:bottom w:val="single" w:color="auto" w:sz="4" w:space="0"/>
              <w:right w:val="single" w:color="auto" w:sz="4" w:space="0"/>
            </w:tcBorders>
            <w:shd w:val="clear" w:color="auto" w:fill="auto"/>
            <w:vAlign w:val="center"/>
          </w:tcPr>
          <w:p>
            <w:pPr>
              <w:snapToGrid w:val="0"/>
              <w:jc w:val="center"/>
              <w:rPr>
                <w:rFonts w:ascii="Times New Roman" w:hAnsi="Times New Roman" w:eastAsia="方正仿宋简体"/>
                <w:sz w:val="28"/>
                <w:szCs w:val="30"/>
              </w:rPr>
            </w:pPr>
            <w:r>
              <w:rPr>
                <w:rFonts w:ascii="Times New Roman" w:hAnsi="Times New Roman" w:eastAsia="方正仿宋简体"/>
                <w:sz w:val="28"/>
                <w:szCs w:val="30"/>
              </w:rPr>
              <w:t>919.63</w:t>
            </w:r>
          </w:p>
        </w:tc>
      </w:tr>
      <w:tr>
        <w:tblPrEx>
          <w:tblCellMar>
            <w:top w:w="0" w:type="dxa"/>
            <w:left w:w="108" w:type="dxa"/>
            <w:bottom w:w="0" w:type="dxa"/>
            <w:right w:w="108" w:type="dxa"/>
          </w:tblCellMar>
        </w:tblPrEx>
        <w:trPr>
          <w:trHeight w:val="270" w:hRule="atLeast"/>
        </w:trPr>
        <w:tc>
          <w:tcPr>
            <w:tcW w:w="1814" w:type="pc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30"/>
              </w:rPr>
            </w:pPr>
            <w:r>
              <w:rPr>
                <w:rFonts w:ascii="Times New Roman" w:hAnsi="Times New Roman" w:eastAsia="方正仿宋简体"/>
                <w:color w:val="000000"/>
                <w:kern w:val="0"/>
                <w:sz w:val="28"/>
                <w:szCs w:val="30"/>
              </w:rPr>
              <w:t>人工草地</w:t>
            </w:r>
          </w:p>
        </w:tc>
        <w:tc>
          <w:tcPr>
            <w:tcW w:w="1354" w:type="pct"/>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方正仿宋简体"/>
                <w:color w:val="000000"/>
                <w:kern w:val="0"/>
                <w:sz w:val="28"/>
                <w:szCs w:val="30"/>
              </w:rPr>
            </w:pPr>
            <w:r>
              <w:rPr>
                <w:rFonts w:ascii="Times New Roman" w:hAnsi="Times New Roman" w:eastAsia="方正仿宋简体"/>
                <w:color w:val="000000"/>
                <w:kern w:val="0"/>
                <w:sz w:val="28"/>
                <w:szCs w:val="30"/>
              </w:rPr>
              <w:t>苜蓿</w:t>
            </w:r>
          </w:p>
        </w:tc>
        <w:tc>
          <w:tcPr>
            <w:tcW w:w="1832" w:type="pct"/>
            <w:tcBorders>
              <w:top w:val="nil"/>
              <w:left w:val="nil"/>
              <w:bottom w:val="single" w:color="auto" w:sz="4" w:space="0"/>
              <w:right w:val="single" w:color="auto" w:sz="4" w:space="0"/>
            </w:tcBorders>
            <w:shd w:val="clear" w:color="auto" w:fill="auto"/>
            <w:vAlign w:val="center"/>
          </w:tcPr>
          <w:p>
            <w:pPr>
              <w:snapToGrid w:val="0"/>
              <w:jc w:val="center"/>
              <w:rPr>
                <w:rFonts w:ascii="Times New Roman" w:hAnsi="Times New Roman" w:eastAsia="方正仿宋简体"/>
                <w:sz w:val="28"/>
                <w:szCs w:val="30"/>
              </w:rPr>
            </w:pPr>
            <w:r>
              <w:rPr>
                <w:rFonts w:ascii="Times New Roman" w:hAnsi="Times New Roman" w:eastAsia="方正仿宋简体"/>
                <w:sz w:val="28"/>
                <w:szCs w:val="30"/>
              </w:rPr>
              <w:t>2102.02</w:t>
            </w:r>
          </w:p>
        </w:tc>
      </w:tr>
    </w:tbl>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根据表3.2-7预测结果，“十四五”末济宁太白湖新区折合猪当量78098.8头猪当量。</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根据表3.2-8预测结果，“十四五”末济宁太白湖新区粮食产量为85610吨，蔬菜作物产量为4389吨，果园水果产量为936吨。</w:t>
      </w:r>
    </w:p>
    <w:p>
      <w:pPr>
        <w:pStyle w:val="5"/>
        <w:spacing w:before="0" w:after="0" w:line="560" w:lineRule="exact"/>
        <w:jc w:val="left"/>
        <w:rPr>
          <w:rFonts w:ascii="Times New Roman" w:hAnsi="Times New Roman" w:eastAsia="方正仿宋简体"/>
          <w:b w:val="0"/>
          <w:bCs w:val="0"/>
          <w:color w:val="000000" w:themeColor="text1"/>
          <w:sz w:val="32"/>
          <w:szCs w:val="32"/>
          <w14:textFill>
            <w14:solidFill>
              <w14:schemeClr w14:val="tx1"/>
            </w14:solidFill>
          </w14:textFill>
        </w:rPr>
      </w:pPr>
      <w:r>
        <w:rPr>
          <w:rFonts w:ascii="Times New Roman" w:hAnsi="Times New Roman" w:eastAsia="方正仿宋简体"/>
          <w:b w:val="0"/>
          <w:bCs w:val="0"/>
          <w:color w:val="000000" w:themeColor="text1"/>
          <w:sz w:val="32"/>
          <w:szCs w:val="32"/>
          <w14:textFill>
            <w14:solidFill>
              <w14:schemeClr w14:val="tx1"/>
            </w14:solidFill>
          </w14:textFill>
        </w:rPr>
        <w:t>3.2.7.2土地承载力预测</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粪便施肥比例及作物吸收效率等相关参数保持不变的情况下对“十四五”末土地承载力进行预测。经核算，济宁太白湖新区“十四五”末土地可承载491797头猪当量。济宁太白湖新区各镇街土地承载力见表3.2-9。</w:t>
      </w:r>
    </w:p>
    <w:p>
      <w:pPr>
        <w:spacing w:line="560" w:lineRule="exact"/>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表3.2-9 济宁太白湖新区各镇街土地承载力统计表</w:t>
      </w:r>
    </w:p>
    <w:tbl>
      <w:tblPr>
        <w:tblStyle w:val="27"/>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701"/>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序号</w:t>
            </w:r>
          </w:p>
        </w:tc>
        <w:tc>
          <w:tcPr>
            <w:tcW w:w="1701" w:type="dxa"/>
            <w:shd w:val="clear" w:color="auto" w:fill="auto"/>
            <w:vAlign w:val="center"/>
          </w:tcPr>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镇街名称</w:t>
            </w:r>
          </w:p>
        </w:tc>
        <w:tc>
          <w:tcPr>
            <w:tcW w:w="2835"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作物氮需求量（t/a）</w:t>
            </w:r>
          </w:p>
        </w:tc>
        <w:tc>
          <w:tcPr>
            <w:tcW w:w="2835"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土地承载力（猪当量）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w:t>
            </w:r>
          </w:p>
        </w:tc>
        <w:tc>
          <w:tcPr>
            <w:tcW w:w="1701" w:type="dxa"/>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许庄街道</w:t>
            </w:r>
          </w:p>
        </w:tc>
        <w:tc>
          <w:tcPr>
            <w:tcW w:w="2835"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0</w:t>
            </w:r>
          </w:p>
        </w:tc>
        <w:tc>
          <w:tcPr>
            <w:tcW w:w="2835"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2</w:t>
            </w:r>
          </w:p>
        </w:tc>
        <w:tc>
          <w:tcPr>
            <w:tcW w:w="1701" w:type="dxa"/>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石桥镇</w:t>
            </w:r>
          </w:p>
        </w:tc>
        <w:tc>
          <w:tcPr>
            <w:tcW w:w="2835"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3442.576</w:t>
            </w:r>
          </w:p>
        </w:tc>
        <w:tc>
          <w:tcPr>
            <w:tcW w:w="2835"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491797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1" w:type="dxa"/>
            <w:gridSpan w:val="2"/>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合计</w:t>
            </w:r>
          </w:p>
        </w:tc>
        <w:tc>
          <w:tcPr>
            <w:tcW w:w="2835"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3442.576</w:t>
            </w:r>
          </w:p>
        </w:tc>
        <w:tc>
          <w:tcPr>
            <w:tcW w:w="2835"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491797</w:t>
            </w:r>
          </w:p>
        </w:tc>
      </w:tr>
    </w:tbl>
    <w:p>
      <w:pPr>
        <w:pStyle w:val="5"/>
        <w:spacing w:before="0" w:after="0" w:line="560" w:lineRule="exact"/>
        <w:jc w:val="left"/>
        <w:rPr>
          <w:rFonts w:ascii="Times New Roman" w:hAnsi="Times New Roman" w:eastAsia="方正仿宋简体"/>
          <w:b w:val="0"/>
          <w:bCs w:val="0"/>
          <w:color w:val="000000" w:themeColor="text1"/>
          <w:sz w:val="32"/>
          <w:szCs w:val="32"/>
          <w14:textFill>
            <w14:solidFill>
              <w14:schemeClr w14:val="tx1"/>
            </w14:solidFill>
          </w14:textFill>
        </w:rPr>
      </w:pPr>
      <w:r>
        <w:rPr>
          <w:rFonts w:ascii="Times New Roman" w:hAnsi="Times New Roman" w:eastAsia="方正仿宋简体"/>
          <w:b w:val="0"/>
          <w:bCs w:val="0"/>
          <w:color w:val="000000" w:themeColor="text1"/>
          <w:sz w:val="32"/>
          <w:szCs w:val="32"/>
          <w14:textFill>
            <w14:solidFill>
              <w14:schemeClr w14:val="tx1"/>
            </w14:solidFill>
          </w14:textFill>
        </w:rPr>
        <w:t>3.2.7.3区域承载力分析</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评价方式：按现有猪当量占土地可承载猪当量的比例进行评价；</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评价等级：比例＜80%为“未超载”，80%≤比例＜100%为“临界超载”，比例≥100%为“超载”。</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经分析，“十四五”末济宁太白湖新区养殖规模总体上土地承载力充足，总体评价等级为“未超载”，各镇街均为“未超载”，土地承载力充足，畜禽养殖也发展空间较大。济宁太白湖新区“十四五”末各镇街土地承载力评价见表3.2-10。</w:t>
      </w:r>
    </w:p>
    <w:p>
      <w:pPr>
        <w:spacing w:line="560" w:lineRule="exact"/>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表3.2-10 济宁太白湖新区“十四五”末各镇街养殖情况及承载力评价</w:t>
      </w:r>
    </w:p>
    <w:tbl>
      <w:tblPr>
        <w:tblStyle w:val="27"/>
        <w:tblW w:w="8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134"/>
        <w:gridCol w:w="1361"/>
        <w:gridCol w:w="1928"/>
        <w:gridCol w:w="1304"/>
        <w:gridCol w:w="1100"/>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序号</w:t>
            </w:r>
          </w:p>
        </w:tc>
        <w:tc>
          <w:tcPr>
            <w:tcW w:w="1134" w:type="dxa"/>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镇街</w:t>
            </w:r>
          </w:p>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名称</w:t>
            </w:r>
          </w:p>
        </w:tc>
        <w:tc>
          <w:tcPr>
            <w:tcW w:w="1361" w:type="dxa"/>
            <w:shd w:val="clear" w:color="auto" w:fill="auto"/>
            <w:noWrap/>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现有猪当量（头）</w:t>
            </w:r>
          </w:p>
        </w:tc>
        <w:tc>
          <w:tcPr>
            <w:tcW w:w="1928" w:type="dxa"/>
            <w:shd w:val="clear" w:color="auto" w:fill="auto"/>
            <w:noWrap/>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土地可承载猪当量（头）</w:t>
            </w:r>
          </w:p>
        </w:tc>
        <w:tc>
          <w:tcPr>
            <w:tcW w:w="1304" w:type="dxa"/>
            <w:shd w:val="clear" w:color="auto" w:fill="auto"/>
            <w:noWrap/>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剩余猪当量（头）</w:t>
            </w:r>
          </w:p>
        </w:tc>
        <w:tc>
          <w:tcPr>
            <w:tcW w:w="1100" w:type="dxa"/>
            <w:shd w:val="clear" w:color="auto" w:fill="auto"/>
            <w:noWrap/>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承载占比</w:t>
            </w:r>
          </w:p>
        </w:tc>
        <w:tc>
          <w:tcPr>
            <w:tcW w:w="1100" w:type="dxa"/>
            <w:shd w:val="clear" w:color="auto" w:fill="auto"/>
            <w:noWrap/>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承载状态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w:t>
            </w:r>
          </w:p>
        </w:tc>
        <w:tc>
          <w:tcPr>
            <w:tcW w:w="1134"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许庄</w:t>
            </w:r>
          </w:p>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街道</w:t>
            </w:r>
          </w:p>
        </w:tc>
        <w:tc>
          <w:tcPr>
            <w:tcW w:w="1361"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w:t>
            </w:r>
          </w:p>
        </w:tc>
        <w:tc>
          <w:tcPr>
            <w:tcW w:w="1928"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w:t>
            </w:r>
          </w:p>
        </w:tc>
        <w:tc>
          <w:tcPr>
            <w:tcW w:w="1304"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w:t>
            </w:r>
          </w:p>
        </w:tc>
        <w:tc>
          <w:tcPr>
            <w:tcW w:w="1100"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w:t>
            </w:r>
          </w:p>
        </w:tc>
        <w:tc>
          <w:tcPr>
            <w:tcW w:w="1100"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未超载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2</w:t>
            </w:r>
          </w:p>
        </w:tc>
        <w:tc>
          <w:tcPr>
            <w:tcW w:w="1134"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石桥镇</w:t>
            </w:r>
          </w:p>
        </w:tc>
        <w:tc>
          <w:tcPr>
            <w:tcW w:w="1361"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78098.8</w:t>
            </w:r>
          </w:p>
        </w:tc>
        <w:tc>
          <w:tcPr>
            <w:tcW w:w="1928"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491797</w:t>
            </w:r>
          </w:p>
        </w:tc>
        <w:tc>
          <w:tcPr>
            <w:tcW w:w="1304"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393437</w:t>
            </w:r>
          </w:p>
        </w:tc>
        <w:tc>
          <w:tcPr>
            <w:tcW w:w="1100"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15.88%</w:t>
            </w:r>
          </w:p>
        </w:tc>
        <w:tc>
          <w:tcPr>
            <w:tcW w:w="1100"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未超载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4" w:type="dxa"/>
            <w:gridSpan w:val="2"/>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合计</w:t>
            </w:r>
          </w:p>
        </w:tc>
        <w:tc>
          <w:tcPr>
            <w:tcW w:w="1361"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78098.8</w:t>
            </w:r>
          </w:p>
        </w:tc>
        <w:tc>
          <w:tcPr>
            <w:tcW w:w="1928"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491797</w:t>
            </w:r>
          </w:p>
        </w:tc>
        <w:tc>
          <w:tcPr>
            <w:tcW w:w="1304"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393437</w:t>
            </w:r>
          </w:p>
        </w:tc>
        <w:tc>
          <w:tcPr>
            <w:tcW w:w="1100"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15.88%</w:t>
            </w:r>
          </w:p>
        </w:tc>
        <w:tc>
          <w:tcPr>
            <w:tcW w:w="1100" w:type="dxa"/>
            <w:shd w:val="clear" w:color="auto" w:fill="auto"/>
            <w:noWrap/>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未超载</w:t>
            </w:r>
          </w:p>
        </w:tc>
      </w:tr>
    </w:tbl>
    <w:p>
      <w:pPr>
        <w:pStyle w:val="3"/>
      </w:pPr>
      <w:bookmarkStart w:id="252" w:name="_Toc138888985"/>
      <w:r>
        <w:t>3.3目标可实现性分析</w:t>
      </w:r>
      <w:bookmarkEnd w:id="247"/>
      <w:bookmarkEnd w:id="248"/>
      <w:bookmarkEnd w:id="249"/>
      <w:bookmarkEnd w:id="250"/>
      <w:bookmarkEnd w:id="251"/>
      <w:bookmarkEnd w:id="252"/>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近年来，济宁太白湖新区编制了《济宁太白湖新区国民经济和社会发展第十四个五年规划纲要（2021-2025年）》，《济宁太白湖新区生态文明建设示范区规划（2021-2030年）》等方案和规划的实施，为本规划打下了良好基础。</w:t>
      </w:r>
    </w:p>
    <w:p>
      <w:pPr>
        <w:spacing w:line="560" w:lineRule="exact"/>
        <w:ind w:firstLine="643"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畜禽粪污综合利用率：</w:t>
      </w:r>
      <w:r>
        <w:rPr>
          <w:rFonts w:ascii="Times New Roman" w:hAnsi="Times New Roman" w:eastAsia="方正仿宋简体"/>
          <w:color w:val="000000" w:themeColor="text1"/>
          <w:sz w:val="32"/>
          <w:szCs w:val="32"/>
          <w14:textFill>
            <w14:solidFill>
              <w14:schemeClr w14:val="tx1"/>
            </w14:solidFill>
          </w14:textFill>
        </w:rPr>
        <w:t>目前济宁太白湖新区畜禽粪污综合利用率现状92.04%。为了更好地发展养殖产业，提高畜禽粪污综合利用率，本规划拟建设1个区域性集中式粪污处理项目，项目的实施能进一步提升济宁太白湖新区畜禽粪污综合利用率，有望在规划年限实现畜禽粪污综合利用率93.01%的目标。</w:t>
      </w:r>
    </w:p>
    <w:p>
      <w:pPr>
        <w:spacing w:line="560" w:lineRule="exact"/>
        <w:ind w:firstLine="643"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畜禽规模养殖场粪污处理设施装备配套率：</w:t>
      </w:r>
      <w:r>
        <w:rPr>
          <w:rFonts w:ascii="Times New Roman" w:hAnsi="Times New Roman" w:eastAsia="方正仿宋简体"/>
          <w:color w:val="000000" w:themeColor="text1"/>
          <w:sz w:val="32"/>
          <w:szCs w:val="32"/>
          <w14:textFill>
            <w14:solidFill>
              <w14:schemeClr w14:val="tx1"/>
            </w14:solidFill>
          </w14:textFill>
        </w:rPr>
        <w:t>济宁太白湖新区规模养殖场处理设施装备配套率目前已达到100%，但普片存在设施配套情况不能满足养殖规模需求，针对此类现象，本规划提出了相应的工程措施要求，在原有处理设施基础上，继续完善粪污处理设施，以实现畜禽规模养殖场粪污处理设施配套率100%的规划目标。</w:t>
      </w:r>
    </w:p>
    <w:p>
      <w:pPr>
        <w:spacing w:line="560" w:lineRule="exact"/>
        <w:ind w:firstLine="643"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畜禽规模养殖场粪污资源化利用台账建设率：</w:t>
      </w:r>
      <w:r>
        <w:rPr>
          <w:rFonts w:ascii="Times New Roman" w:hAnsi="Times New Roman" w:eastAsia="方正仿宋简体"/>
          <w:color w:val="000000" w:themeColor="text1"/>
          <w:sz w:val="32"/>
          <w:szCs w:val="32"/>
          <w14:textFill>
            <w14:solidFill>
              <w14:schemeClr w14:val="tx1"/>
            </w14:solidFill>
          </w14:textFill>
        </w:rPr>
        <w:t>济宁太白湖新区目前规模化养殖场均建设有粪污资源化利用台账，但台账的完整性仍有所不足。拟通过加强宣传，逐步推进粪肥利用台账制度实施，强化指导服务，做好粪肥利用台账培训等工作措施，规范台账制度落地、实施、监管等工作，实现规模化养殖场畜禽粪污资源化利用台账覆盖率100%。</w:t>
      </w:r>
    </w:p>
    <w:p>
      <w:pPr>
        <w:spacing w:line="560" w:lineRule="exact"/>
        <w:ind w:firstLine="643"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达标排放的畜禽规模养殖场自行监测覆盖率：</w:t>
      </w:r>
      <w:r>
        <w:rPr>
          <w:rFonts w:ascii="Times New Roman" w:hAnsi="Times New Roman" w:eastAsia="方正仿宋简体"/>
          <w:color w:val="000000" w:themeColor="text1"/>
          <w:sz w:val="32"/>
          <w:szCs w:val="32"/>
          <w14:textFill>
            <w14:solidFill>
              <w14:schemeClr w14:val="tx1"/>
            </w14:solidFill>
          </w14:textFill>
        </w:rPr>
        <w:t>济宁太白湖新区现有规模养殖场畜禽粪污均采用资源化利用方式进行回用，无采取达标排放方式的养殖场，可实现达标排放的畜禽规模化养殖场自行监测覆盖率100%。</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综上所述，济宁太白湖新区畜禽养殖优势明显，问题也普遍存在，但随着规划对策措施落实，规划项目实施，管理能力和监管力度加强，能够进一步提升太白湖新区畜禽养殖业生态化水平，能够实现规划目标。</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sectPr>
          <w:pgSz w:w="11906" w:h="16838"/>
          <w:pgMar w:top="2098" w:right="1588" w:bottom="2098" w:left="1588" w:header="851" w:footer="992" w:gutter="0"/>
          <w:cols w:space="425" w:num="1"/>
          <w:docGrid w:type="lines" w:linePitch="312" w:charSpace="0"/>
        </w:sectPr>
      </w:pPr>
    </w:p>
    <w:p>
      <w:pPr>
        <w:pStyle w:val="2"/>
        <w:spacing w:before="0" w:after="0" w:line="560" w:lineRule="exact"/>
        <w:jc w:val="left"/>
        <w:rPr>
          <w:rFonts w:ascii="Times New Roman" w:hAnsi="Times New Roman" w:eastAsia="方正黑体简体"/>
          <w:b w:val="0"/>
          <w:color w:val="000000" w:themeColor="text1"/>
          <w:sz w:val="32"/>
          <w:szCs w:val="32"/>
          <w14:textFill>
            <w14:solidFill>
              <w14:schemeClr w14:val="tx1"/>
            </w14:solidFill>
          </w14:textFill>
        </w:rPr>
      </w:pPr>
      <w:bookmarkStart w:id="253" w:name="_Toc119849230"/>
      <w:bookmarkStart w:id="254" w:name="_Toc138888986"/>
      <w:bookmarkStart w:id="255" w:name="_Toc119835912"/>
      <w:bookmarkStart w:id="256" w:name="_Toc119856302"/>
      <w:bookmarkStart w:id="257" w:name="_Toc119856690"/>
      <w:bookmarkStart w:id="258" w:name="_Toc119843235"/>
      <w:r>
        <w:rPr>
          <w:rFonts w:ascii="Times New Roman" w:hAnsi="Times New Roman" w:eastAsia="方正黑体简体"/>
          <w:b w:val="0"/>
          <w:color w:val="000000" w:themeColor="text1"/>
          <w:sz w:val="32"/>
          <w:szCs w:val="32"/>
          <w14:textFill>
            <w14:solidFill>
              <w14:schemeClr w14:val="tx1"/>
            </w14:solidFill>
          </w14:textFill>
        </w:rPr>
        <w:t>4主要任务</w:t>
      </w:r>
      <w:bookmarkEnd w:id="253"/>
      <w:bookmarkEnd w:id="254"/>
      <w:bookmarkEnd w:id="255"/>
      <w:bookmarkEnd w:id="256"/>
      <w:bookmarkEnd w:id="257"/>
      <w:bookmarkEnd w:id="258"/>
    </w:p>
    <w:p>
      <w:pPr>
        <w:pStyle w:val="3"/>
      </w:pPr>
      <w:bookmarkStart w:id="259" w:name="_Toc119856303"/>
      <w:bookmarkStart w:id="260" w:name="_Toc119856691"/>
      <w:bookmarkStart w:id="261" w:name="_Toc119843236"/>
      <w:bookmarkStart w:id="262" w:name="_Toc119835913"/>
      <w:bookmarkStart w:id="263" w:name="_Toc138888987"/>
      <w:bookmarkStart w:id="264" w:name="_Toc119849231"/>
      <w:r>
        <w:t>4.1畜禽养殖污染治理总体要求</w:t>
      </w:r>
      <w:bookmarkEnd w:id="259"/>
      <w:bookmarkEnd w:id="260"/>
      <w:bookmarkEnd w:id="261"/>
      <w:bookmarkEnd w:id="262"/>
      <w:bookmarkEnd w:id="263"/>
      <w:bookmarkEnd w:id="264"/>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根据济宁太白湖新区主体功能定位、“三线一单”管控要求、禁（限）养区划定方案，以及畜禽产品产量目标，结合区域自然条件、地理位置、人居环境整治等要求。按照土地承载能力和有机肥需求，促进养殖业与种植业的有机融合，实行以地定畜，精准规划引导畜牧业发展，引导畜禽规模养殖场与种植业主衔接，扶持种养合作，鼓励经无害化处理的畜禽养殖粪污作为有机肥料科学还田利用。</w:t>
      </w:r>
    </w:p>
    <w:p>
      <w:pPr>
        <w:spacing w:line="560" w:lineRule="exact"/>
        <w:ind w:firstLine="643" w:firstLineChars="200"/>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（1）加强区域环境准入管控</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严格落实《济宁太白湖新区畜禽养殖禁养区限养区划定方案》要求，对禁养区内畜禽规模养殖场进行全面摸清排查。禁养区内不得新建畜禽规模养殖场，法律明确规定须关闭或搬迁的养殖场户要全部关闭或搬迁；禁止建设有污染物排放的养殖场，污染物处理应达到排放要求或无害化利用。适养区范围内可以适度发展规模化、生态化畜禽养殖场的区域。法律没有明确规定的，养殖场户粪污不得外排，否则予以关闭或搬迁。加强对已关闭搬迁的畜禽规模养殖场和畜禽养殖户的巡查和监管，严防禁养区内畜禽养殖“反弹”和“复养”现象发生。沿河限养区内严格控制畜禽养殖场户的数量和规模，养殖场户须配套粪污处理设施装备，实现粪污资源化利用，不得超过环境容量排放污染物。对符合保留条件的养殖场户，要进行登记造册并建立台账；未登记造册的养殖场户，视为不符合保留条件，一经发现，由镇街政府予以关闭。</w:t>
      </w:r>
    </w:p>
    <w:p>
      <w:pPr>
        <w:spacing w:line="560" w:lineRule="exact"/>
        <w:ind w:firstLine="643" w:firstLineChars="200"/>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（2）优化畜禽养殖布局空间</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各镇街应依据区域生态环境功能定位、环境承载能力、禁养区划定情况、“三线一单”管控要求等实际情况，合理确定养殖总量、品种和规模化水平、养殖选址等，并配套建设污染防治设施，确保完成污染物总量控制和排放标准要求，推动养殖产能向粮食主产区等粪肥消纳量大的区域调整转移。</w:t>
      </w:r>
    </w:p>
    <w:p>
      <w:pPr>
        <w:spacing w:line="560" w:lineRule="exact"/>
        <w:ind w:firstLine="643" w:firstLineChars="200"/>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（3）巩固禁养区畜禽养殖场关停搬迁工作</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认真落实畜禽养殖禁养区管理规定，严控禁养区内新建、改建、扩建畜禽规模养殖场，巩固禁养区搬迁关停工作成果。加强对已关闭搬迁的养殖场、养殖户的巡查和监管，防止禁养区内畜禽规模养殖场“反弹”和“复养”现象发生。</w:t>
      </w:r>
    </w:p>
    <w:p>
      <w:pPr>
        <w:spacing w:line="560" w:lineRule="exact"/>
        <w:ind w:firstLine="643" w:firstLineChars="200"/>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（4）加强重点区域管理工作</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持续做好水功能区、集中式饮用水源地等重点区域污染防治工作加强污染源源头管理，强化废水排放监管，加强农业面源污染治理，严防畜禽粪污流失污染。严格落实河湖长制职责，加强协作配合和信息互通，加大对各断面上游及周边河道巡查管护。建立水环境质量预警机制，根据每月的地表水监测数据，精准高效分析各断面水环境质量变化，若出现水质波动大的情况，应及时启动预警机制，以最快的速度识别并解决问题症结。</w:t>
      </w:r>
    </w:p>
    <w:p>
      <w:pPr>
        <w:spacing w:line="560" w:lineRule="exact"/>
        <w:ind w:firstLine="643" w:firstLineChars="200"/>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（5）严格落实工程措施建设节点</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本规划通过对济宁太白湖新区畜禽养殖现状及“十四五”末种养情况预测分析，提出了相应的工程措施。工程措施所涉及的养殖场、单位应严格按照工程建设要求及时组织实施。此外，主管部门应按照工程建设时间节点对养殖场处理设施建设进度进行把关，对工程建设严重滞后的养殖场督导建设，必要时可根据实际情况进行处罚。</w:t>
      </w:r>
    </w:p>
    <w:p>
      <w:pPr>
        <w:pStyle w:val="3"/>
      </w:pPr>
      <w:bookmarkStart w:id="265" w:name="_Toc119856304"/>
      <w:bookmarkStart w:id="266" w:name="_Toc119843237"/>
      <w:bookmarkStart w:id="267" w:name="_Toc119835914"/>
      <w:bookmarkStart w:id="268" w:name="_Toc119849232"/>
      <w:bookmarkStart w:id="269" w:name="_Toc119856692"/>
      <w:bookmarkStart w:id="270" w:name="_Toc138888988"/>
      <w:r>
        <w:t>4.2提升畜禽粪污资源化利用水平</w:t>
      </w:r>
      <w:bookmarkEnd w:id="265"/>
      <w:bookmarkEnd w:id="266"/>
      <w:bookmarkEnd w:id="267"/>
      <w:bookmarkEnd w:id="268"/>
      <w:bookmarkEnd w:id="269"/>
      <w:bookmarkEnd w:id="270"/>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271" w:name="_Toc119856693"/>
      <w:bookmarkStart w:id="272" w:name="_Toc119835915"/>
      <w:bookmarkStart w:id="273" w:name="_Toc119843238"/>
      <w:bookmarkStart w:id="274" w:name="_Toc119849233"/>
      <w:bookmarkStart w:id="275" w:name="_Toc119856305"/>
      <w:bookmarkStart w:id="276" w:name="_Toc138888989"/>
      <w:r>
        <w:rPr>
          <w:rFonts w:ascii="Times New Roman" w:hAnsi="Times New Roman" w:eastAsia="方正仿宋简体"/>
          <w:color w:val="000000" w:themeColor="text1"/>
          <w14:textFill>
            <w14:solidFill>
              <w14:schemeClr w14:val="tx1"/>
            </w14:solidFill>
          </w14:textFill>
        </w:rPr>
        <w:t>4.2.1持续推进畜禽粪污生态循环利用</w:t>
      </w:r>
      <w:bookmarkEnd w:id="271"/>
      <w:bookmarkEnd w:id="272"/>
      <w:bookmarkEnd w:id="273"/>
      <w:bookmarkEnd w:id="274"/>
      <w:bookmarkEnd w:id="275"/>
      <w:bookmarkEnd w:id="276"/>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结合区域自然条件、地理优势位置、经济发展状况，构建种、养、加结合一体化基地，以养殖业为核心，分别从种植、养殖、加工三个环节进行配套提升。科学调整养殖规模，通过推进配套养殖场“三改两分”处理技术（即改水冲粪为干清粪、改无限用水为控制用水、改明沟排污为暗道排污，固液分离、雨污分离）和标准化有机肥生产加工工程建设，优化养殖环境、促进废弃物集中高效处理，化粪为宝。推进适度规模、符合济宁太白湖新区生态条件的标准化饲草基地工程建设，弥补养殖饲料不足，并就近消纳畜禽养殖粪污。</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277" w:name="_Toc119835916"/>
      <w:bookmarkStart w:id="278" w:name="_Toc119843239"/>
      <w:bookmarkStart w:id="279" w:name="_Toc119849234"/>
      <w:bookmarkStart w:id="280" w:name="_Toc138888990"/>
      <w:bookmarkStart w:id="281" w:name="_Toc119856694"/>
      <w:bookmarkStart w:id="282" w:name="_Toc119856306"/>
      <w:r>
        <w:rPr>
          <w:rFonts w:ascii="Times New Roman" w:hAnsi="Times New Roman" w:eastAsia="方正仿宋简体"/>
          <w:color w:val="000000" w:themeColor="text1"/>
          <w14:textFill>
            <w14:solidFill>
              <w14:schemeClr w14:val="tx1"/>
            </w14:solidFill>
          </w14:textFill>
        </w:rPr>
        <w:t>4.2.2优化养殖粪污处置方式</w:t>
      </w:r>
      <w:bookmarkEnd w:id="277"/>
      <w:bookmarkEnd w:id="278"/>
      <w:bookmarkEnd w:id="279"/>
      <w:bookmarkEnd w:id="280"/>
      <w:bookmarkEnd w:id="281"/>
      <w:bookmarkEnd w:id="282"/>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农业农村部门指导畜禽养殖场户结合养殖工艺需要，采取全量收集、固液分离等畜禽粪污收集处理方式，使畜禽养殖粪污减量化、资源化、无害化、生态化，减少畜禽养殖环境污染问题。着力扩大堆（沤）肥、液态粪肥利用，促进种植业提质增效。规模养殖场户通过租赁、协议等方式，依据粪污产生量和农作物养分需求量落实粪污消纳情况，确保畜禽粪肥就地就近还田利用。各镇街依托集中处理中心、农民合作社和基层畜牧兽医服务组织，培育一批粪肥经纪公司、经纪人等市场化服务主体，规范开展粪肥收运服务，不断提高商品有机肥产量和质量，有效扩大畜禽粪污资源化利用规模。</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283" w:name="_Toc119835917"/>
      <w:bookmarkStart w:id="284" w:name="_Toc119843240"/>
      <w:bookmarkStart w:id="285" w:name="_Toc119849235"/>
      <w:bookmarkStart w:id="286" w:name="_Toc119856307"/>
      <w:bookmarkStart w:id="287" w:name="_Toc138888991"/>
      <w:bookmarkStart w:id="288" w:name="_Toc119856695"/>
      <w:r>
        <w:rPr>
          <w:rFonts w:ascii="Times New Roman" w:hAnsi="Times New Roman" w:eastAsia="方正仿宋简体"/>
          <w:color w:val="000000" w:themeColor="text1"/>
          <w14:textFill>
            <w14:solidFill>
              <w14:schemeClr w14:val="tx1"/>
            </w14:solidFill>
          </w14:textFill>
        </w:rPr>
        <w:t>4.2.3建立粪污集中收集管理体系</w:t>
      </w:r>
      <w:bookmarkEnd w:id="283"/>
      <w:bookmarkEnd w:id="284"/>
      <w:bookmarkEnd w:id="285"/>
      <w:bookmarkEnd w:id="286"/>
      <w:bookmarkEnd w:id="287"/>
      <w:bookmarkEnd w:id="288"/>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以规模化畜禽养殖场为中心，辐射周边养殖密集区域，由专业化的畜禽养殖废弃物收储运公司构建高效收、储、运链条。打通再生产品销售渠道，配备相应基础设施，搭建信息平台，为畜禽养殖资源化产品的应用创造有利条件。</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鼓励和支持散养密集区实行畜禽粪污分户收集、集中处理，或将废弃物委托给具备处理能力的单位进行综合处置和利用，降低处理成本，提高利用水平，实现散养密集区畜禽养殖废弃物的统一管理。</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289" w:name="_Toc119835918"/>
      <w:bookmarkStart w:id="290" w:name="_Toc119849236"/>
      <w:bookmarkStart w:id="291" w:name="_Toc119843241"/>
      <w:bookmarkStart w:id="292" w:name="_Toc119856308"/>
      <w:bookmarkStart w:id="293" w:name="_Toc138888992"/>
      <w:bookmarkStart w:id="294" w:name="_Toc119856696"/>
      <w:r>
        <w:rPr>
          <w:rFonts w:ascii="Times New Roman" w:hAnsi="Times New Roman" w:eastAsia="方正仿宋简体"/>
          <w:color w:val="000000" w:themeColor="text1"/>
          <w14:textFill>
            <w14:solidFill>
              <w14:schemeClr w14:val="tx1"/>
            </w14:solidFill>
          </w14:textFill>
        </w:rPr>
        <w:t>4.2.4提升资源粪污资源化利用水平</w:t>
      </w:r>
      <w:bookmarkEnd w:id="289"/>
      <w:bookmarkEnd w:id="290"/>
      <w:bookmarkEnd w:id="291"/>
      <w:bookmarkEnd w:id="292"/>
      <w:bookmarkEnd w:id="293"/>
      <w:bookmarkEnd w:id="294"/>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加快推进畜禽养殖粪污资源化利用。鼓励各类市场主体参与养殖粪污资源化利用，支持开发转化生物质能源。鼓励有条件的龙头企业建设区域性养殖粪污资源化利用设施，构建本区域粪污收集、转化、应用产业链。对收集转化和应用养殖粪污的生物质能源利用、发电工程等，参照国家有关政策给予补助，依法享受有关企业所得税免征、减征政策及农业产业化龙头企业贷款贴息政策。</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大力推广应用有机肥。全面落实化肥使用零增长行动、土壤污染防治行动计划和耕地质量提升规划，支持农业生产经营主体使用经资源化利用后的粪源有机肥。支持农业生产经营主体在田间地头建沼液储液池（罐）和喷灌管网，鼓励沼液和经无害化处理的畜禽养殖废水作为肥料科学还田使用。健全畜禽粪污还田利用和检测方法标准体系。加强粪肥还田技术指导，建立健全检测体系，确保科学合理施用。支持专业化公司、养殖场或农民专业合作社等建设大型有机肥加工厂，就近就地处理周边畜禽粪污。</w:t>
      </w:r>
    </w:p>
    <w:p>
      <w:pPr>
        <w:pStyle w:val="3"/>
        <w:rPr>
          <w:rFonts w:eastAsia="方正仿宋简体"/>
        </w:rPr>
      </w:pPr>
      <w:bookmarkStart w:id="295" w:name="_Toc119835919"/>
      <w:bookmarkStart w:id="296" w:name="_Toc119843242"/>
      <w:bookmarkStart w:id="297" w:name="_Toc119849237"/>
      <w:bookmarkStart w:id="298" w:name="_Toc119856309"/>
      <w:bookmarkStart w:id="299" w:name="_Toc119856697"/>
      <w:bookmarkStart w:id="300" w:name="_Toc138888993"/>
      <w:r>
        <w:t>4.3完善粪污处理和利用设施</w:t>
      </w:r>
      <w:bookmarkEnd w:id="295"/>
      <w:bookmarkEnd w:id="296"/>
      <w:bookmarkEnd w:id="297"/>
      <w:bookmarkEnd w:id="298"/>
      <w:bookmarkEnd w:id="299"/>
      <w:bookmarkEnd w:id="300"/>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按照源头减量、过程控制、末端利用的原则，加强畜禽养殖场户粪污收集、贮存、处理设施装备建设。</w:t>
      </w:r>
      <w:bookmarkStart w:id="301" w:name="_Toc119843243"/>
      <w:bookmarkStart w:id="302" w:name="_Toc119849238"/>
      <w:bookmarkStart w:id="303" w:name="_Toc119835920"/>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304" w:name="_Toc138888994"/>
      <w:r>
        <w:rPr>
          <w:rFonts w:ascii="Times New Roman" w:hAnsi="Times New Roman" w:eastAsia="方正仿宋简体"/>
          <w:color w:val="000000" w:themeColor="text1"/>
          <w14:textFill>
            <w14:solidFill>
              <w14:schemeClr w14:val="tx1"/>
            </w14:solidFill>
          </w14:textFill>
        </w:rPr>
        <w:t>4.3.1源头减量设施</w:t>
      </w:r>
      <w:bookmarkEnd w:id="301"/>
      <w:bookmarkEnd w:id="302"/>
      <w:bookmarkEnd w:id="303"/>
      <w:r>
        <w:rPr>
          <w:rFonts w:ascii="Times New Roman" w:hAnsi="Times New Roman" w:eastAsia="方正仿宋简体"/>
          <w:color w:val="000000" w:themeColor="text1"/>
          <w14:textFill>
            <w14:solidFill>
              <w14:schemeClr w14:val="tx1"/>
            </w14:solidFill>
          </w14:textFill>
        </w:rPr>
        <w:t>建设</w:t>
      </w:r>
      <w:bookmarkEnd w:id="304"/>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采用节水型饮水器，防饮水浪费及外流。对现有的粪污贮存设施进行升级改造，建立独立的雨水和污水收集管网系统，实行雨污分流。</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（1）畜禽饮水具器改造</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采用节水型饮水器，防饮水浪费及外流。根据不同畜禽品种、生产阶段选择合适的饮水器，饮水器的安装高度和水压要符合规定要求，要加强饮水管理，及时维修和更换损坏的管道、饮水器。建议采用杯状、悬挂式饮水器，节约耗水量，减少污水产生量；如使用乳头式饮水器，建议在饮水器下方建集水槽，通过集水槽外排口将漏出的饮水排入雨水收集系统。</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（2）改进清粪方式</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推荐采用干清粪、机械清粪工艺，现有养殖户逐步淘汰全程水冲粪等清粪方式，实现废水源头减量。按照畜禽养殖污染治理梳堵结合、种养平衡、资源利用的原则，通过减少排污量、废弃物资源化利用等方式，大力推进散养养殖户污染治理工作。</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（3）雨污分流改造</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对畜禽养殖场户现有的粪污贮存设施进行升级改造，建立独立的雨水和污水收集管网系统，实行雨污分流。尿液通过尿液收集系统流入污水沟，雨水则通过雨水收集系排出场外。舍内污水沟可用明沟，舍外要用暗沟。舍外为明沟的要加盖盖板，并做好“三防”措施，防止雨污混流。</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305" w:name="_Toc119835921"/>
      <w:bookmarkStart w:id="306" w:name="_Toc119856698"/>
      <w:bookmarkStart w:id="307" w:name="_Toc119856310"/>
      <w:bookmarkStart w:id="308" w:name="_Toc119849239"/>
      <w:bookmarkStart w:id="309" w:name="_Toc119843244"/>
      <w:bookmarkStart w:id="310" w:name="_Toc138888995"/>
      <w:r>
        <w:rPr>
          <w:rFonts w:ascii="Times New Roman" w:hAnsi="Times New Roman" w:eastAsia="方正仿宋简体"/>
          <w:color w:val="000000" w:themeColor="text1"/>
          <w14:textFill>
            <w14:solidFill>
              <w14:schemeClr w14:val="tx1"/>
            </w14:solidFill>
          </w14:textFill>
        </w:rPr>
        <w:t>4.3.2粪污处理利用设施建设</w:t>
      </w:r>
      <w:bookmarkEnd w:id="305"/>
      <w:bookmarkEnd w:id="306"/>
      <w:bookmarkEnd w:id="307"/>
      <w:bookmarkEnd w:id="308"/>
      <w:bookmarkEnd w:id="309"/>
      <w:bookmarkEnd w:id="310"/>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统筹考虑畜禽业发展的环境承载能力以及畜禽养殖污染防治要求，对畜禽规模养殖场污染防治设施的建设、验收和运行实行“三同时”制度。鼓励更新设施设备和标准化改造圈舍，采取雨污分流和粪尿的干湿分离，限制畜禽用水量，建立粪便收集池，防止畜禽粪污渗漏、散落、溢流、雨水淋湿。采用固液分离、高效生物处理池、好氧膜生物反应池等污染防治措施，达到减量化的要求，做到达标排放或零排放。</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311" w:name="_Toc119843245"/>
      <w:bookmarkStart w:id="312" w:name="_Toc119849240"/>
      <w:bookmarkStart w:id="313" w:name="_Toc119835922"/>
      <w:bookmarkStart w:id="314" w:name="_Toc119856311"/>
      <w:bookmarkStart w:id="315" w:name="_Toc119856699"/>
      <w:bookmarkStart w:id="316" w:name="_Toc138888996"/>
      <w:r>
        <w:rPr>
          <w:rFonts w:ascii="Times New Roman" w:hAnsi="Times New Roman" w:eastAsia="方正仿宋简体"/>
          <w:color w:val="000000" w:themeColor="text1"/>
          <w14:textFill>
            <w14:solidFill>
              <w14:schemeClr w14:val="tx1"/>
            </w14:solidFill>
          </w14:textFill>
        </w:rPr>
        <w:t>4.3.3田间配套设施建设</w:t>
      </w:r>
      <w:bookmarkEnd w:id="311"/>
      <w:bookmarkEnd w:id="312"/>
      <w:bookmarkEnd w:id="313"/>
      <w:bookmarkEnd w:id="314"/>
      <w:bookmarkEnd w:id="315"/>
      <w:bookmarkEnd w:id="316"/>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加大畜禽养殖粪污资源化利用技术的推广力度，推进田间粪污收集、贮存、处理、利用设施建设。鼓励畜禽规模养殖场与家庭农场、种植大户、农民合作社等新型经营主体建立长期合作模式，大力推广种养结合模式，推进粪污还田。鼓励养殖密集区地方政府、畜禽养殖场户、种植大户购置铲车、运粪车、吸污车等粪污机械还田设施，提高粪肥施用便捷性和综合利用率。</w:t>
      </w:r>
    </w:p>
    <w:p>
      <w:pPr>
        <w:pStyle w:val="3"/>
        <w:rPr>
          <w:rFonts w:eastAsia="方正仿宋简体"/>
        </w:rPr>
      </w:pPr>
      <w:bookmarkStart w:id="317" w:name="_Toc138888997"/>
      <w:bookmarkStart w:id="318" w:name="_Toc119856700"/>
      <w:bookmarkStart w:id="319" w:name="_Toc119849241"/>
      <w:bookmarkStart w:id="320" w:name="_Toc119856312"/>
      <w:bookmarkStart w:id="321" w:name="_Toc119835923"/>
      <w:bookmarkStart w:id="322" w:name="_Toc119843246"/>
      <w:r>
        <w:t>4.4建立健全台账管理制度</w:t>
      </w:r>
      <w:bookmarkEnd w:id="317"/>
      <w:bookmarkEnd w:id="318"/>
      <w:bookmarkEnd w:id="319"/>
      <w:bookmarkEnd w:id="320"/>
      <w:bookmarkEnd w:id="321"/>
      <w:bookmarkEnd w:id="322"/>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农业农村部办公厅、生态环境部办公厅联合印发《关于进一步明确畜禽粪污还田利用要求强化养殖污染监管的通知》（农办牧〔2020〕23号），要求应提前确定粪肥还田利用计划，同时需建立粪污处理和粪肥利用台账，及时记录粪污日处理量和粪肥施用时间、施用量与施肥方式等，确保台账数据真实准确。</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按照《畜禽规模养殖污染防治条例》，落实畜禽规模养殖场主体责任，建立畜禽规模养殖场畜禽养殖台账和粪污资源化利用台账制度，落实环境管理台账记录的责任部门和责任人，明确工作职责，包括台账的记录、整理、维护和管理等并对环境管理台账的真实性、完整性和规范性负责。台账内容包括但不限于各畜禽养殖场户的畜禽养殖品种、规模以及畜禽养殖粪污的产生、排放和综合利用等情况，确保畜禽粪污去向可追溯。台账应定期报县级人民政府生态环境主管部门备案，生态环境主管部门应当定期将台账抄送同级农业农村主管部门。配套土地不足，无法就地就近还田的规模养殖场户，应委托第三方代为实现资源化利用，及时准确记录相关信息。台账应按照电子化储存和纸质储存两种形式同步管理。</w:t>
      </w:r>
    </w:p>
    <w:p>
      <w:pPr>
        <w:pStyle w:val="3"/>
        <w:rPr>
          <w:rFonts w:eastAsia="方正仿宋简体"/>
        </w:rPr>
      </w:pPr>
      <w:bookmarkStart w:id="323" w:name="_Toc119835924"/>
      <w:bookmarkStart w:id="324" w:name="_Toc138888998"/>
      <w:bookmarkStart w:id="325" w:name="_Toc119856313"/>
      <w:bookmarkStart w:id="326" w:name="_Toc119843247"/>
      <w:bookmarkStart w:id="327" w:name="_Toc119849242"/>
      <w:bookmarkStart w:id="328" w:name="_Toc119856701"/>
      <w:r>
        <w:t>4.5强化环境监管</w:t>
      </w:r>
      <w:bookmarkEnd w:id="323"/>
      <w:bookmarkEnd w:id="324"/>
      <w:bookmarkEnd w:id="325"/>
      <w:bookmarkEnd w:id="326"/>
      <w:bookmarkEnd w:id="327"/>
      <w:bookmarkEnd w:id="328"/>
    </w:p>
    <w:p>
      <w:pPr>
        <w:pStyle w:val="4"/>
        <w:spacing w:before="0" w:after="0" w:line="560" w:lineRule="exact"/>
        <w:jc w:val="left"/>
        <w:rPr>
          <w:rFonts w:ascii="Times New Roman" w:hAnsi="Times New Roman" w:eastAsia="方正仿宋简体"/>
          <w:b w:val="0"/>
          <w:color w:val="000000" w:themeColor="text1"/>
          <w14:textFill>
            <w14:solidFill>
              <w14:schemeClr w14:val="tx1"/>
            </w14:solidFill>
          </w14:textFill>
        </w:rPr>
      </w:pPr>
      <w:bookmarkStart w:id="329" w:name="_Toc119843248"/>
      <w:bookmarkStart w:id="330" w:name="_Toc119856314"/>
      <w:bookmarkStart w:id="331" w:name="_Toc138888999"/>
      <w:bookmarkStart w:id="332" w:name="_Toc119849243"/>
      <w:bookmarkStart w:id="333" w:name="_Toc119856702"/>
      <w:bookmarkStart w:id="334" w:name="_Toc119835925"/>
      <w:r>
        <w:rPr>
          <w:rFonts w:ascii="Times New Roman" w:hAnsi="Times New Roman" w:eastAsia="方正仿宋简体"/>
          <w:color w:val="000000" w:themeColor="text1"/>
          <w14:textFill>
            <w14:solidFill>
              <w14:schemeClr w14:val="tx1"/>
            </w14:solidFill>
          </w14:textFill>
        </w:rPr>
        <w:t>4.5.1严格畜禽养殖审批制度</w:t>
      </w:r>
      <w:bookmarkEnd w:id="329"/>
      <w:bookmarkEnd w:id="330"/>
      <w:bookmarkEnd w:id="331"/>
      <w:bookmarkEnd w:id="332"/>
      <w:bookmarkEnd w:id="333"/>
      <w:bookmarkEnd w:id="334"/>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严把畜禽养殖项目审批关，杜绝未经审批新建、扩建、改建畜禽养殖场。新建的畜禽规模养殖场户选址需远离环境敏感点，需符合农业用地、禁养区划定和畜牧业发展规划等要求，并配套相应的消纳土地。对符合规划的畜禽养殖场应及时审批，确保养殖业健康稳步发展。</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335" w:name="_Toc119849244"/>
      <w:bookmarkStart w:id="336" w:name="_Toc119835926"/>
      <w:bookmarkStart w:id="337" w:name="_Toc119856315"/>
      <w:bookmarkStart w:id="338" w:name="_Toc138889000"/>
      <w:bookmarkStart w:id="339" w:name="_Toc119843249"/>
      <w:bookmarkStart w:id="340" w:name="_Toc119856703"/>
      <w:r>
        <w:rPr>
          <w:rFonts w:ascii="Times New Roman" w:hAnsi="Times New Roman" w:eastAsia="方正仿宋简体"/>
          <w:color w:val="000000" w:themeColor="text1"/>
          <w14:textFill>
            <w14:solidFill>
              <w14:schemeClr w14:val="tx1"/>
            </w14:solidFill>
          </w14:textFill>
        </w:rPr>
        <w:t>4.5.2强化日常监管</w:t>
      </w:r>
      <w:bookmarkEnd w:id="335"/>
      <w:bookmarkEnd w:id="336"/>
      <w:bookmarkEnd w:id="337"/>
      <w:bookmarkEnd w:id="338"/>
      <w:bookmarkEnd w:id="339"/>
      <w:bookmarkEnd w:id="340"/>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各镇街人民政府对本行政区域内的畜禽养殖粪污资源化利用工作负总责，组织、协调本行政区域粪污处理和资源化利用工作，结合本地实际，依法明确部门职责，细化任务分工，健全工作机制，加大资金投入，完善政策措施，强化日常监管，确保各项任务落实到位。</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生态环境、农业农村等部门要依法履行职责，加强监督管理、指导和服务。落实畜禽规模养殖场备案制度和污染直联直报信息制度，按照国家、省、市要求构建统一管理、分级使用、共享直联的监管平台，加强对直报信息系统的在线监管、实时监控，对上报信息不实的依法予以处罚。实施畜禽规模养殖场分类管理，对设有固定排污口、符合条件的畜禽规模养殖场，依据《排污许可证申请与核发技术规范畜禽养殖行业》，核发排污许可证。加大环境执法监管力度，强化规模养殖场环境保护责任，对不运行处理设施，偷排、漏排污染物造成环境污染事故的依法处理，相关信息通过有关网站依法向社会公开。</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以畜禽规模养殖场粪污无害化处理资源化利用设施建设、有机肥还田利用等指标为重点，制定具体考核方案，建立畜禽养殖粪污资源化利用绩效评价考核制度，纳入</w:t>
      </w:r>
      <w:r>
        <w:rPr>
          <w:rFonts w:hint="eastAsia" w:ascii="Times New Roman" w:hAnsi="Times New Roman" w:eastAsia="方正仿宋简体"/>
          <w:color w:val="000000" w:themeColor="text1"/>
          <w:sz w:val="32"/>
          <w:szCs w:val="32"/>
          <w14:textFill>
            <w14:solidFill>
              <w14:schemeClr w14:val="tx1"/>
            </w14:solidFill>
          </w14:textFill>
        </w:rPr>
        <w:t>管委会</w:t>
      </w:r>
      <w:r>
        <w:rPr>
          <w:rFonts w:ascii="Times New Roman" w:hAnsi="Times New Roman" w:eastAsia="方正仿宋简体"/>
          <w:color w:val="000000" w:themeColor="text1"/>
          <w:sz w:val="32"/>
          <w:szCs w:val="32"/>
          <w14:textFill>
            <w14:solidFill>
              <w14:schemeClr w14:val="tx1"/>
            </w14:solidFill>
          </w14:textFill>
        </w:rPr>
        <w:t>对镇街政府绩效评价考核指标体系。</w:t>
      </w:r>
      <w:r>
        <w:rPr>
          <w:rFonts w:hint="eastAsia" w:ascii="Times New Roman" w:hAnsi="Times New Roman" w:eastAsia="方正仿宋简体"/>
          <w:color w:val="000000" w:themeColor="text1"/>
          <w:sz w:val="32"/>
          <w:szCs w:val="32"/>
          <w14:textFill>
            <w14:solidFill>
              <w14:schemeClr w14:val="tx1"/>
            </w14:solidFill>
          </w14:textFill>
        </w:rPr>
        <w:t>街</w:t>
      </w:r>
      <w:r>
        <w:rPr>
          <w:rFonts w:ascii="Times New Roman" w:hAnsi="Times New Roman" w:eastAsia="方正仿宋简体"/>
          <w:color w:val="000000" w:themeColor="text1"/>
          <w:sz w:val="32"/>
          <w:szCs w:val="32"/>
          <w14:textFill>
            <w14:solidFill>
              <w14:schemeClr w14:val="tx1"/>
            </w14:solidFill>
          </w14:textFill>
        </w:rPr>
        <w:t>、镇政府要对本行政区域内畜禽养殖粪污资源化利用工作开展考核，层层传导压力。生态环境部门将定期通报考核结果，强化考核结果应用，建立激励和责任追究机制。</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341" w:name="_Toc119843250"/>
      <w:bookmarkStart w:id="342" w:name="_Toc119835927"/>
      <w:bookmarkStart w:id="343" w:name="_Toc119849245"/>
      <w:bookmarkStart w:id="344" w:name="_Toc119856316"/>
      <w:bookmarkStart w:id="345" w:name="_Toc119856704"/>
      <w:bookmarkStart w:id="346" w:name="_Toc138889001"/>
      <w:r>
        <w:rPr>
          <w:rFonts w:ascii="Times New Roman" w:hAnsi="Times New Roman" w:eastAsia="方正仿宋简体"/>
          <w:color w:val="000000" w:themeColor="text1"/>
          <w14:textFill>
            <w14:solidFill>
              <w14:schemeClr w14:val="tx1"/>
            </w14:solidFill>
          </w14:textFill>
        </w:rPr>
        <w:t>4.5.3落实养殖场户主体责任</w:t>
      </w:r>
      <w:bookmarkEnd w:id="341"/>
      <w:bookmarkEnd w:id="342"/>
      <w:bookmarkEnd w:id="343"/>
      <w:bookmarkEnd w:id="344"/>
      <w:bookmarkEnd w:id="345"/>
      <w:bookmarkEnd w:id="346"/>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生态环境、农业农村等主管部门要加强宣传引导，督促养殖场（户）落实主体责任，在养殖场投入使用前，建设完成相应的污水与雨水分流设施，畜禽粪便、污水的贮存设施，粪污厌氧消化和堆沤、有机肥加工、制取沼气、沼渣沼液分离和输送、污水处理、畜禽尸体处理等综合利用和无害化处理设施，或委托他人对畜禽养殖粪污代为综合利用和无害化处理，未达到畜禽养殖污染防治要求的养殖场（户）不予安排有关补贴政策。</w:t>
      </w:r>
    </w:p>
    <w:p>
      <w:pPr>
        <w:pStyle w:val="4"/>
        <w:spacing w:before="0" w:after="0" w:line="560" w:lineRule="exact"/>
        <w:jc w:val="left"/>
        <w:rPr>
          <w:rFonts w:ascii="Times New Roman" w:hAnsi="Times New Roman" w:eastAsia="方正仿宋简体"/>
          <w:color w:val="000000" w:themeColor="text1"/>
          <w14:textFill>
            <w14:solidFill>
              <w14:schemeClr w14:val="tx1"/>
            </w14:solidFill>
          </w14:textFill>
        </w:rPr>
      </w:pPr>
      <w:bookmarkStart w:id="347" w:name="_Toc119856705"/>
      <w:bookmarkStart w:id="348" w:name="_Toc138889002"/>
      <w:bookmarkStart w:id="349" w:name="_Toc119835928"/>
      <w:bookmarkStart w:id="350" w:name="_Toc119843251"/>
      <w:bookmarkStart w:id="351" w:name="_Toc119849246"/>
      <w:bookmarkStart w:id="352" w:name="_Toc119856317"/>
      <w:r>
        <w:rPr>
          <w:rFonts w:ascii="Times New Roman" w:hAnsi="Times New Roman" w:eastAsia="方正仿宋简体"/>
          <w:color w:val="000000" w:themeColor="text1"/>
          <w14:textFill>
            <w14:solidFill>
              <w14:schemeClr w14:val="tx1"/>
            </w14:solidFill>
          </w14:textFill>
        </w:rPr>
        <w:t>4.5.4强化污染风险</w:t>
      </w:r>
      <w:bookmarkEnd w:id="347"/>
      <w:bookmarkEnd w:id="348"/>
      <w:bookmarkEnd w:id="349"/>
      <w:bookmarkEnd w:id="350"/>
      <w:bookmarkEnd w:id="351"/>
      <w:bookmarkEnd w:id="352"/>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结合各镇街的实际情况和环境压力制定相应的污染风险防范措施。加大环境执法监管力度，建立问题清单和责任清单，明确整改目标和整改时限，组织对完成整改要求的畜禽养殖场户进行现场核查，检查畜禽粪污处理设施装备配套情况，并定期向社会公布核查结果；对超过整改期限，畜禽粪污无处理设施装备仍不合格的畜禽养殖场户，依法责令停止生产或使用。</w:t>
      </w:r>
    </w:p>
    <w:p>
      <w:pPr>
        <w:pStyle w:val="3"/>
      </w:pPr>
      <w:bookmarkStart w:id="353" w:name="_Toc138889003"/>
      <w:r>
        <w:t>4.6优化产业空间布局</w:t>
      </w:r>
      <w:bookmarkEnd w:id="353"/>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严格落实《济宁太白湖新区畜禽养殖禁养区限养区划定方案》禁养区内不得新建、扩建畜禽规模养殖场。加强对已关闭搬迁的养殖场、养殖户的巡查和监管，防止禁养区内畜禽规模养殖场“反弹”和“复养”现象发生。要求限养区养殖场、养殖户粪污处理设施规范化、标准化，未配设粪污处理设施的须按要求补充建设，实现粪污资源化利用。合理调整适养区空间布局，提倡适度规模养殖，推行标准化、生态化养殖。坚持以地定畜、以种定养，宜增则增、宜减则减。</w:t>
      </w:r>
    </w:p>
    <w:p>
      <w:pPr>
        <w:spacing w:line="560" w:lineRule="exact"/>
        <w:rPr>
          <w:rFonts w:ascii="Times New Roman" w:hAnsi="Times New Roman" w:eastAsia="方正仿宋简体"/>
          <w:color w:val="000000" w:themeColor="text1"/>
          <w:sz w:val="32"/>
          <w:szCs w:val="32"/>
          <w14:textFill>
            <w14:solidFill>
              <w14:schemeClr w14:val="tx1"/>
            </w14:solidFill>
          </w14:textFill>
        </w:rPr>
        <w:sectPr>
          <w:pgSz w:w="11906" w:h="16838"/>
          <w:pgMar w:top="2098" w:right="1588" w:bottom="2098" w:left="1588" w:header="851" w:footer="992" w:gutter="0"/>
          <w:cols w:space="425" w:num="1"/>
          <w:docGrid w:type="lines" w:linePitch="312" w:charSpace="0"/>
        </w:sectPr>
      </w:pPr>
    </w:p>
    <w:p>
      <w:pPr>
        <w:pStyle w:val="2"/>
        <w:spacing w:before="0" w:after="0" w:line="560" w:lineRule="exact"/>
        <w:jc w:val="left"/>
        <w:rPr>
          <w:rFonts w:ascii="Times New Roman" w:hAnsi="Times New Roman" w:eastAsia="方正黑体简体"/>
          <w:b w:val="0"/>
          <w:color w:val="000000" w:themeColor="text1"/>
          <w:sz w:val="32"/>
          <w:szCs w:val="32"/>
          <w14:textFill>
            <w14:solidFill>
              <w14:schemeClr w14:val="tx1"/>
            </w14:solidFill>
          </w14:textFill>
        </w:rPr>
      </w:pPr>
      <w:bookmarkStart w:id="354" w:name="_Toc138889004"/>
      <w:bookmarkStart w:id="355" w:name="_Toc119835929"/>
      <w:bookmarkStart w:id="356" w:name="_Toc119849247"/>
      <w:bookmarkStart w:id="357" w:name="_Toc119843252"/>
      <w:bookmarkStart w:id="358" w:name="_Toc119856318"/>
      <w:bookmarkStart w:id="359" w:name="_Toc119856706"/>
      <w:r>
        <w:rPr>
          <w:rFonts w:ascii="Times New Roman" w:hAnsi="Times New Roman" w:eastAsia="方正黑体简体"/>
          <w:b w:val="0"/>
          <w:color w:val="000000" w:themeColor="text1"/>
          <w:sz w:val="32"/>
          <w:szCs w:val="32"/>
          <w14:textFill>
            <w14:solidFill>
              <w14:schemeClr w14:val="tx1"/>
            </w14:solidFill>
          </w14:textFill>
        </w:rPr>
        <w:t>5重点工程</w:t>
      </w:r>
      <w:bookmarkEnd w:id="354"/>
      <w:bookmarkEnd w:id="355"/>
      <w:bookmarkEnd w:id="356"/>
      <w:bookmarkEnd w:id="357"/>
      <w:bookmarkEnd w:id="358"/>
      <w:bookmarkEnd w:id="359"/>
    </w:p>
    <w:p>
      <w:pPr>
        <w:pStyle w:val="3"/>
      </w:pPr>
      <w:bookmarkStart w:id="360" w:name="_Toc119835930"/>
      <w:bookmarkStart w:id="361" w:name="_Toc138889005"/>
      <w:bookmarkStart w:id="362" w:name="_Toc119856319"/>
      <w:bookmarkStart w:id="363" w:name="_Toc119849248"/>
      <w:bookmarkStart w:id="364" w:name="_Toc119856707"/>
      <w:bookmarkStart w:id="365" w:name="_Toc119843253"/>
      <w:r>
        <w:t>5.1畜禽规模养殖场及散养户粪污处理设施建设</w:t>
      </w:r>
      <w:bookmarkEnd w:id="360"/>
      <w:bookmarkEnd w:id="361"/>
      <w:bookmarkEnd w:id="362"/>
      <w:bookmarkEnd w:id="363"/>
      <w:bookmarkEnd w:id="364"/>
      <w:bookmarkEnd w:id="365"/>
    </w:p>
    <w:p>
      <w:pPr>
        <w:spacing w:line="560" w:lineRule="exact"/>
        <w:ind w:firstLine="640" w:firstLineChars="200"/>
        <w:rPr>
          <w:rFonts w:hint="eastAsia"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按照“谁污染谁治理”的原则，统筹规模养殖场、养殖密集区污染防治，持续推进畜禽规模养殖场及散养户粪污收集、贮存、处理、雨污分流等设施建设或升级改造，完善粪污存储、处理设施，避免对环境造成污染。以畜禽规模化养殖为建设主体，带动周边散养户进行建设，实现设施共享，达到粪污资源化利用为目的，工程估算投资：345.6万元。济宁太白湖新区规模养殖场及养殖户粪污处理设施升级改造投资概况见表5.1-1。</w:t>
      </w:r>
    </w:p>
    <w:p>
      <w:pPr>
        <w:snapToGrid w:val="0"/>
        <w:jc w:val="center"/>
        <w:rPr>
          <w:rFonts w:hint="eastAsia" w:ascii="Times New Roman" w:hAnsi="Times New Roman" w:eastAsia="方正仿宋简体"/>
          <w:b/>
          <w:color w:val="000000" w:themeColor="text1"/>
          <w:spacing w:val="-2"/>
          <w:sz w:val="32"/>
          <w:szCs w:val="32"/>
          <w14:textFill>
            <w14:solidFill>
              <w14:schemeClr w14:val="tx1"/>
            </w14:solidFill>
          </w14:textFill>
        </w:rPr>
      </w:pPr>
      <w:r>
        <w:rPr>
          <w:rFonts w:ascii="Times New Roman" w:hAnsi="Times New Roman" w:eastAsia="方正仿宋简体"/>
          <w:b/>
          <w:color w:val="000000" w:themeColor="text1"/>
          <w:spacing w:val="-2"/>
          <w:sz w:val="32"/>
          <w:szCs w:val="32"/>
          <w14:textFill>
            <w14:solidFill>
              <w14:schemeClr w14:val="tx1"/>
            </w14:solidFill>
          </w14:textFill>
        </w:rPr>
        <w:t>表5.1-1 济宁太白湖新区规模养殖场</w:t>
      </w:r>
    </w:p>
    <w:p>
      <w:pPr>
        <w:snapToGrid w:val="0"/>
        <w:jc w:val="center"/>
        <w:rPr>
          <w:rFonts w:ascii="Times New Roman" w:hAnsi="Times New Roman" w:eastAsia="方正仿宋简体"/>
          <w:b/>
          <w:color w:val="000000" w:themeColor="text1"/>
          <w:spacing w:val="-2"/>
          <w:sz w:val="32"/>
          <w:szCs w:val="32"/>
          <w14:textFill>
            <w14:solidFill>
              <w14:schemeClr w14:val="tx1"/>
            </w14:solidFill>
          </w14:textFill>
        </w:rPr>
      </w:pPr>
      <w:r>
        <w:rPr>
          <w:rFonts w:ascii="Times New Roman" w:hAnsi="Times New Roman" w:eastAsia="方正仿宋简体"/>
          <w:b/>
          <w:color w:val="000000" w:themeColor="text1"/>
          <w:spacing w:val="-2"/>
          <w:sz w:val="32"/>
          <w:szCs w:val="32"/>
          <w14:textFill>
            <w14:solidFill>
              <w14:schemeClr w14:val="tx1"/>
            </w14:solidFill>
          </w14:textFill>
        </w:rPr>
        <w:t>及散养户粪污处理设施建设投资概况表</w:t>
      </w:r>
    </w:p>
    <w:tbl>
      <w:tblPr>
        <w:tblStyle w:val="27"/>
        <w:tblW w:w="8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2152"/>
        <w:gridCol w:w="1408"/>
        <w:gridCol w:w="1417"/>
        <w:gridCol w:w="1265"/>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dxa"/>
            <w:shd w:val="clear" w:color="auto" w:fill="auto"/>
            <w:noWrap/>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序号</w:t>
            </w:r>
          </w:p>
        </w:tc>
        <w:tc>
          <w:tcPr>
            <w:tcW w:w="2152" w:type="dxa"/>
            <w:shd w:val="clear" w:color="auto" w:fill="auto"/>
            <w:noWrap/>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建设内容</w:t>
            </w:r>
          </w:p>
        </w:tc>
        <w:tc>
          <w:tcPr>
            <w:tcW w:w="1408" w:type="dxa"/>
            <w:shd w:val="clear" w:color="auto" w:fill="auto"/>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工程量</w:t>
            </w:r>
          </w:p>
        </w:tc>
        <w:tc>
          <w:tcPr>
            <w:tcW w:w="1417" w:type="dxa"/>
            <w:shd w:val="clear" w:color="auto" w:fill="auto"/>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单价（元）</w:t>
            </w:r>
          </w:p>
        </w:tc>
        <w:tc>
          <w:tcPr>
            <w:tcW w:w="1276" w:type="dxa"/>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建设</w:t>
            </w:r>
          </w:p>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hint="eastAsia" w:ascii="Times New Roman" w:hAnsi="Times New Roman" w:eastAsia="方正仿宋简体"/>
                <w:b/>
                <w:bCs/>
                <w:color w:val="000000" w:themeColor="text1"/>
                <w:kern w:val="0"/>
                <w:sz w:val="28"/>
                <w:szCs w:val="30"/>
                <w14:textFill>
                  <w14:solidFill>
                    <w14:schemeClr w14:val="tx1"/>
                  </w14:solidFill>
                </w14:textFill>
              </w:rPr>
              <w:t>周期</w:t>
            </w:r>
          </w:p>
        </w:tc>
        <w:tc>
          <w:tcPr>
            <w:tcW w:w="1468" w:type="dxa"/>
            <w:shd w:val="clear" w:color="auto" w:fill="auto"/>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总投资</w:t>
            </w:r>
          </w:p>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w:t>
            </w:r>
          </w:p>
        </w:tc>
        <w:tc>
          <w:tcPr>
            <w:tcW w:w="2152"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雨水沟(m)</w:t>
            </w:r>
          </w:p>
        </w:tc>
        <w:tc>
          <w:tcPr>
            <w:tcW w:w="1408" w:type="dxa"/>
            <w:shd w:val="clear" w:color="auto" w:fill="auto"/>
            <w:noWrap/>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8000</w:t>
            </w:r>
          </w:p>
        </w:tc>
        <w:tc>
          <w:tcPr>
            <w:tcW w:w="1417"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75</w:t>
            </w:r>
          </w:p>
        </w:tc>
        <w:tc>
          <w:tcPr>
            <w:tcW w:w="1276" w:type="dxa"/>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2025年</w:t>
            </w:r>
          </w:p>
        </w:tc>
        <w:tc>
          <w:tcPr>
            <w:tcW w:w="1468"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2</w:t>
            </w:r>
          </w:p>
        </w:tc>
        <w:tc>
          <w:tcPr>
            <w:tcW w:w="2152"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暗管排污沟(m)</w:t>
            </w:r>
          </w:p>
        </w:tc>
        <w:tc>
          <w:tcPr>
            <w:tcW w:w="1408" w:type="dxa"/>
            <w:shd w:val="clear" w:color="auto" w:fill="auto"/>
            <w:noWrap/>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5000</w:t>
            </w:r>
          </w:p>
        </w:tc>
        <w:tc>
          <w:tcPr>
            <w:tcW w:w="1417"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120</w:t>
            </w:r>
          </w:p>
        </w:tc>
        <w:tc>
          <w:tcPr>
            <w:tcW w:w="1276" w:type="dxa"/>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2025年</w:t>
            </w:r>
          </w:p>
        </w:tc>
        <w:tc>
          <w:tcPr>
            <w:tcW w:w="1468"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3</w:t>
            </w:r>
          </w:p>
        </w:tc>
        <w:tc>
          <w:tcPr>
            <w:tcW w:w="2152"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集污池(m</w:t>
            </w:r>
            <w:r>
              <w:rPr>
                <w:rFonts w:ascii="Times New Roman" w:hAnsi="Times New Roman" w:eastAsia="方正仿宋简体"/>
                <w:color w:val="000000" w:themeColor="text1"/>
                <w:kern w:val="0"/>
                <w:sz w:val="28"/>
                <w:szCs w:val="30"/>
                <w:vertAlign w:val="superscript"/>
                <w14:textFill>
                  <w14:solidFill>
                    <w14:schemeClr w14:val="tx1"/>
                  </w14:solidFill>
                </w14:textFill>
              </w:rPr>
              <w:t>3</w:t>
            </w:r>
            <w:r>
              <w:rPr>
                <w:rFonts w:ascii="Times New Roman" w:hAnsi="Times New Roman" w:eastAsia="方正仿宋简体"/>
                <w:color w:val="000000" w:themeColor="text1"/>
                <w:kern w:val="0"/>
                <w:sz w:val="28"/>
                <w:szCs w:val="30"/>
                <w14:textFill>
                  <w14:solidFill>
                    <w14:schemeClr w14:val="tx1"/>
                  </w14:solidFill>
                </w14:textFill>
              </w:rPr>
              <w:t>)</w:t>
            </w:r>
          </w:p>
        </w:tc>
        <w:tc>
          <w:tcPr>
            <w:tcW w:w="1408" w:type="dxa"/>
            <w:shd w:val="clear" w:color="auto" w:fill="auto"/>
            <w:noWrap/>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3600</w:t>
            </w:r>
          </w:p>
        </w:tc>
        <w:tc>
          <w:tcPr>
            <w:tcW w:w="1417"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360</w:t>
            </w:r>
          </w:p>
        </w:tc>
        <w:tc>
          <w:tcPr>
            <w:tcW w:w="1276" w:type="dxa"/>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2025年</w:t>
            </w:r>
          </w:p>
        </w:tc>
        <w:tc>
          <w:tcPr>
            <w:tcW w:w="1468"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4</w:t>
            </w:r>
          </w:p>
        </w:tc>
        <w:tc>
          <w:tcPr>
            <w:tcW w:w="2152"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堆粪场(m</w:t>
            </w:r>
            <w:r>
              <w:rPr>
                <w:rFonts w:ascii="Times New Roman" w:hAnsi="Times New Roman" w:eastAsia="方正仿宋简体"/>
                <w:color w:val="000000" w:themeColor="text1"/>
                <w:kern w:val="0"/>
                <w:sz w:val="28"/>
                <w:szCs w:val="30"/>
                <w:vertAlign w:val="superscript"/>
                <w14:textFill>
                  <w14:solidFill>
                    <w14:schemeClr w14:val="tx1"/>
                  </w14:solidFill>
                </w14:textFill>
              </w:rPr>
              <w:t>2</w:t>
            </w:r>
            <w:r>
              <w:rPr>
                <w:rFonts w:ascii="Times New Roman" w:hAnsi="Times New Roman" w:eastAsia="方正仿宋简体"/>
                <w:color w:val="000000" w:themeColor="text1"/>
                <w:kern w:val="0"/>
                <w:sz w:val="28"/>
                <w:szCs w:val="30"/>
                <w14:textFill>
                  <w14:solidFill>
                    <w14:schemeClr w14:val="tx1"/>
                  </w14:solidFill>
                </w14:textFill>
              </w:rPr>
              <w:t>)</w:t>
            </w:r>
          </w:p>
        </w:tc>
        <w:tc>
          <w:tcPr>
            <w:tcW w:w="1408" w:type="dxa"/>
            <w:shd w:val="clear" w:color="auto" w:fill="auto"/>
            <w:noWrap/>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2000</w:t>
            </w:r>
          </w:p>
        </w:tc>
        <w:tc>
          <w:tcPr>
            <w:tcW w:w="1417"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480</w:t>
            </w:r>
          </w:p>
        </w:tc>
        <w:tc>
          <w:tcPr>
            <w:tcW w:w="1276" w:type="dxa"/>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2025年</w:t>
            </w:r>
          </w:p>
        </w:tc>
        <w:tc>
          <w:tcPr>
            <w:tcW w:w="1468"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2" w:type="dxa"/>
            <w:gridSpan w:val="5"/>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合计</w:t>
            </w:r>
          </w:p>
        </w:tc>
        <w:tc>
          <w:tcPr>
            <w:tcW w:w="1468" w:type="dxa"/>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345.6</w:t>
            </w:r>
          </w:p>
        </w:tc>
      </w:tr>
    </w:tbl>
    <w:p>
      <w:pPr>
        <w:pStyle w:val="3"/>
      </w:pPr>
      <w:bookmarkStart w:id="366" w:name="_Toc119835931"/>
      <w:bookmarkStart w:id="367" w:name="_Toc119843254"/>
      <w:bookmarkStart w:id="368" w:name="_Toc119856320"/>
      <w:bookmarkStart w:id="369" w:name="_Toc119856708"/>
      <w:bookmarkStart w:id="370" w:name="_Toc138889006"/>
      <w:bookmarkStart w:id="371" w:name="_Toc119849249"/>
      <w:r>
        <w:t>5.2畜禽粪污集中处理设施建设</w:t>
      </w:r>
      <w:bookmarkEnd w:id="366"/>
      <w:bookmarkEnd w:id="367"/>
      <w:bookmarkEnd w:id="368"/>
      <w:bookmarkEnd w:id="369"/>
      <w:bookmarkEnd w:id="370"/>
      <w:bookmarkEnd w:id="371"/>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结合济宁太白湖新区专业养殖户、散养户基数大，粪污治理、资源化利用难的特点，以龙头企业为载体，对周边专业养殖户、散养户粪污进行收集、处置、资源化利用。拟在石桥镇建设1个有机肥生产项目，项目建设资金以“企业自筹+配套资金”的方式进行筹集，工程估算投资：3000万元。济宁太白湖新区畜禽粪污集中处理项目情况见表5.2-1。</w:t>
      </w:r>
    </w:p>
    <w:p>
      <w:pPr>
        <w:spacing w:line="560" w:lineRule="exact"/>
        <w:jc w:val="center"/>
        <w:rPr>
          <w:rFonts w:ascii="Times New Roman" w:hAnsi="Times New Roman" w:eastAsia="方正仿宋简体"/>
          <w:b/>
          <w:color w:val="000000" w:themeColor="text1"/>
          <w:spacing w:val="-2"/>
          <w:sz w:val="32"/>
          <w:szCs w:val="32"/>
          <w14:textFill>
            <w14:solidFill>
              <w14:schemeClr w14:val="tx1"/>
            </w14:solidFill>
          </w14:textFill>
        </w:rPr>
      </w:pPr>
      <w:r>
        <w:rPr>
          <w:rFonts w:ascii="Times New Roman" w:hAnsi="Times New Roman" w:eastAsia="方正仿宋简体"/>
          <w:b/>
          <w:color w:val="000000" w:themeColor="text1"/>
          <w:spacing w:val="-2"/>
          <w:sz w:val="32"/>
          <w:szCs w:val="32"/>
          <w14:textFill>
            <w14:solidFill>
              <w14:schemeClr w14:val="tx1"/>
            </w14:solidFill>
          </w14:textFill>
        </w:rPr>
        <w:t>表5.2-1 济宁太白湖新区畜禽粪污集中处理项目情况表</w:t>
      </w:r>
    </w:p>
    <w:tbl>
      <w:tblPr>
        <w:tblStyle w:val="27"/>
        <w:tblW w:w="7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2"/>
        <w:gridCol w:w="1423"/>
        <w:gridCol w:w="1103"/>
        <w:gridCol w:w="3008"/>
        <w:gridCol w:w="977"/>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562" w:type="dxa"/>
            <w:vMerge w:val="restart"/>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序号</w:t>
            </w:r>
          </w:p>
        </w:tc>
        <w:tc>
          <w:tcPr>
            <w:tcW w:w="1423" w:type="dxa"/>
            <w:vMerge w:val="restart"/>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项目名称</w:t>
            </w:r>
          </w:p>
        </w:tc>
        <w:tc>
          <w:tcPr>
            <w:tcW w:w="1103" w:type="dxa"/>
            <w:vMerge w:val="restart"/>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建设</w:t>
            </w:r>
          </w:p>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主体</w:t>
            </w:r>
          </w:p>
        </w:tc>
        <w:tc>
          <w:tcPr>
            <w:tcW w:w="3008" w:type="dxa"/>
            <w:vMerge w:val="restart"/>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建设内容及规模</w:t>
            </w:r>
          </w:p>
        </w:tc>
        <w:tc>
          <w:tcPr>
            <w:tcW w:w="977" w:type="dxa"/>
            <w:vMerge w:val="restart"/>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建设</w:t>
            </w:r>
          </w:p>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周期</w:t>
            </w:r>
          </w:p>
        </w:tc>
        <w:tc>
          <w:tcPr>
            <w:tcW w:w="834" w:type="dxa"/>
            <w:vMerge w:val="restart"/>
            <w:shd w:val="clear" w:color="auto" w:fill="auto"/>
            <w:noWrap/>
            <w:vAlign w:val="center"/>
          </w:tcPr>
          <w:p>
            <w:pPr>
              <w:widowControl/>
              <w:snapToGrid w:val="0"/>
              <w:jc w:val="center"/>
              <w:rPr>
                <w:rFonts w:ascii="Times New Roman" w:hAnsi="Times New Roman" w:eastAsia="方正仿宋简体"/>
                <w:b/>
                <w:color w:val="000000" w:themeColor="text1"/>
                <w:kern w:val="0"/>
                <w:sz w:val="28"/>
                <w:szCs w:val="30"/>
                <w14:textFill>
                  <w14:solidFill>
                    <w14:schemeClr w14:val="tx1"/>
                  </w14:solidFill>
                </w14:textFill>
              </w:rPr>
            </w:pPr>
            <w:r>
              <w:rPr>
                <w:rFonts w:ascii="Times New Roman" w:hAnsi="Times New Roman" w:eastAsia="方正仿宋简体"/>
                <w:b/>
                <w:color w:val="000000" w:themeColor="text1"/>
                <w:kern w:val="0"/>
                <w:sz w:val="28"/>
                <w:szCs w:val="30"/>
                <w14:textFill>
                  <w14:solidFill>
                    <w14:schemeClr w14:val="tx1"/>
                  </w14:solidFill>
                </w14:textFill>
              </w:rPr>
              <w:t>总投资（万元）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562" w:type="dxa"/>
            <w:vMerge w:val="continue"/>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p>
        </w:tc>
        <w:tc>
          <w:tcPr>
            <w:tcW w:w="1423" w:type="dxa"/>
            <w:vMerge w:val="continue"/>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p>
        </w:tc>
        <w:tc>
          <w:tcPr>
            <w:tcW w:w="1103" w:type="dxa"/>
            <w:vMerge w:val="continue"/>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p>
        </w:tc>
        <w:tc>
          <w:tcPr>
            <w:tcW w:w="3008" w:type="dxa"/>
            <w:vMerge w:val="continue"/>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p>
        </w:tc>
        <w:tc>
          <w:tcPr>
            <w:tcW w:w="977" w:type="dxa"/>
            <w:vMerge w:val="continue"/>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p>
        </w:tc>
        <w:tc>
          <w:tcPr>
            <w:tcW w:w="834" w:type="dxa"/>
            <w:vMerge w:val="continue"/>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1" w:hRule="atLeast"/>
          <w:jc w:val="center"/>
        </w:trPr>
        <w:tc>
          <w:tcPr>
            <w:tcW w:w="562"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w:t>
            </w:r>
          </w:p>
        </w:tc>
        <w:tc>
          <w:tcPr>
            <w:tcW w:w="1423" w:type="dxa"/>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有机肥生产建设项目</w:t>
            </w:r>
          </w:p>
        </w:tc>
        <w:tc>
          <w:tcPr>
            <w:tcW w:w="1103" w:type="dxa"/>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通过招商引资方式</w:t>
            </w:r>
          </w:p>
        </w:tc>
        <w:tc>
          <w:tcPr>
            <w:tcW w:w="3008" w:type="dxa"/>
            <w:shd w:val="clear" w:color="auto" w:fill="auto"/>
            <w:vAlign w:val="center"/>
          </w:tcPr>
          <w:p>
            <w:pPr>
              <w:widowControl/>
              <w:snapToGrid w:val="0"/>
              <w:jc w:val="left"/>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石桥镇建设1个有机肥生产项目，生产规模：120t/d有机肥。</w:t>
            </w:r>
          </w:p>
        </w:tc>
        <w:tc>
          <w:tcPr>
            <w:tcW w:w="977" w:type="dxa"/>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2025年</w:t>
            </w:r>
          </w:p>
        </w:tc>
        <w:tc>
          <w:tcPr>
            <w:tcW w:w="834" w:type="dxa"/>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3000</w:t>
            </w:r>
          </w:p>
        </w:tc>
      </w:tr>
    </w:tbl>
    <w:p>
      <w:pPr>
        <w:pStyle w:val="3"/>
      </w:pPr>
      <w:bookmarkStart w:id="372" w:name="_Toc119843255"/>
      <w:bookmarkStart w:id="373" w:name="_Toc119849250"/>
      <w:bookmarkStart w:id="374" w:name="_Toc119856321"/>
      <w:bookmarkStart w:id="375" w:name="_Toc138889007"/>
      <w:bookmarkStart w:id="376" w:name="_Toc119856709"/>
      <w:bookmarkStart w:id="377" w:name="_Toc119835932"/>
      <w:r>
        <w:t>5.3田间配套设施建设</w:t>
      </w:r>
      <w:bookmarkEnd w:id="372"/>
      <w:bookmarkEnd w:id="373"/>
      <w:bookmarkEnd w:id="374"/>
      <w:bookmarkEnd w:id="375"/>
      <w:bookmarkEnd w:id="376"/>
      <w:bookmarkEnd w:id="377"/>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按照“源头减量”、“过程控制、“末端利用”的资源化利用途径，遵循“填平补齐”的原则，合理布局田间粪肥暂存设施，配备运输罐车、清粪设备等，建设田间配套设施，工程内容包括清粪设备、污水泵送系统、翻耙机等，建设地点涉及各镇街的畜禽规模养殖场及散养户。项目建设资金以“企业自筹+配套资金”的方式进行筹集，工程估算投资：857万元。具体建设内容见表5.3-1。</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rPr>
          <w:rFonts w:hint="eastAsia" w:ascii="Times New Roman" w:hAnsi="Times New Roman" w:eastAsia="方正仿宋简体"/>
          <w:color w:val="000000" w:themeColor="text1"/>
          <w:sz w:val="32"/>
          <w:szCs w:val="32"/>
          <w14:textFill>
            <w14:solidFill>
              <w14:schemeClr w14:val="tx1"/>
            </w14:solidFill>
          </w14:textFill>
        </w:rPr>
      </w:pPr>
    </w:p>
    <w:p>
      <w:pPr>
        <w:spacing w:line="560" w:lineRule="exact"/>
        <w:rPr>
          <w:rFonts w:ascii="Times New Roman" w:hAnsi="Times New Roman" w:eastAsia="方正仿宋简体"/>
          <w:color w:val="000000" w:themeColor="text1"/>
          <w:sz w:val="32"/>
          <w:szCs w:val="32"/>
          <w14:textFill>
            <w14:solidFill>
              <w14:schemeClr w14:val="tx1"/>
            </w14:solidFill>
          </w14:textFill>
        </w:rPr>
      </w:pPr>
    </w:p>
    <w:p>
      <w:pPr>
        <w:spacing w:line="560" w:lineRule="exact"/>
        <w:jc w:val="center"/>
        <w:rPr>
          <w:rFonts w:ascii="Times New Roman" w:hAnsi="Times New Roman" w:eastAsia="方正仿宋简体"/>
          <w:b/>
          <w:color w:val="000000" w:themeColor="text1"/>
          <w:spacing w:val="-2"/>
          <w:sz w:val="32"/>
          <w:szCs w:val="32"/>
          <w14:textFill>
            <w14:solidFill>
              <w14:schemeClr w14:val="tx1"/>
            </w14:solidFill>
          </w14:textFill>
        </w:rPr>
      </w:pPr>
      <w:r>
        <w:rPr>
          <w:rFonts w:ascii="Times New Roman" w:hAnsi="Times New Roman" w:eastAsia="方正仿宋简体"/>
          <w:b/>
          <w:color w:val="000000" w:themeColor="text1"/>
          <w:spacing w:val="-2"/>
          <w:sz w:val="32"/>
          <w:szCs w:val="32"/>
          <w14:textFill>
            <w14:solidFill>
              <w14:schemeClr w14:val="tx1"/>
            </w14:solidFill>
          </w14:textFill>
        </w:rPr>
        <w:t>表5.3-1 田间配套设施建设内容表</w:t>
      </w:r>
    </w:p>
    <w:tbl>
      <w:tblPr>
        <w:tblStyle w:val="27"/>
        <w:tblW w:w="8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2751"/>
        <w:gridCol w:w="1086"/>
        <w:gridCol w:w="1356"/>
        <w:gridCol w:w="1444"/>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87" w:type="dxa"/>
            <w:vMerge w:val="restart"/>
            <w:shd w:val="clear" w:color="auto" w:fill="auto"/>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序号</w:t>
            </w:r>
          </w:p>
        </w:tc>
        <w:tc>
          <w:tcPr>
            <w:tcW w:w="2756" w:type="dxa"/>
            <w:vMerge w:val="restart"/>
            <w:shd w:val="clear" w:color="auto" w:fill="auto"/>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田间配套设施</w:t>
            </w:r>
          </w:p>
        </w:tc>
        <w:tc>
          <w:tcPr>
            <w:tcW w:w="1088" w:type="dxa"/>
            <w:vMerge w:val="restart"/>
            <w:shd w:val="clear" w:color="auto" w:fill="auto"/>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工程量</w:t>
            </w:r>
          </w:p>
        </w:tc>
        <w:tc>
          <w:tcPr>
            <w:tcW w:w="1357" w:type="dxa"/>
            <w:vMerge w:val="restart"/>
            <w:shd w:val="clear" w:color="auto" w:fill="auto"/>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单价</w:t>
            </w:r>
          </w:p>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（元）</w:t>
            </w:r>
          </w:p>
        </w:tc>
        <w:tc>
          <w:tcPr>
            <w:tcW w:w="1446" w:type="dxa"/>
            <w:vMerge w:val="restart"/>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建设周期</w:t>
            </w:r>
          </w:p>
        </w:tc>
        <w:tc>
          <w:tcPr>
            <w:tcW w:w="1233" w:type="dxa"/>
            <w:vMerge w:val="restart"/>
            <w:shd w:val="clear" w:color="auto" w:fill="auto"/>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r>
              <w:rPr>
                <w:rFonts w:ascii="Times New Roman" w:hAnsi="Times New Roman" w:eastAsia="方正仿宋简体"/>
                <w:b/>
                <w:bCs/>
                <w:color w:val="000000" w:themeColor="text1"/>
                <w:kern w:val="0"/>
                <w:sz w:val="28"/>
                <w:szCs w:val="30"/>
                <w14:textFill>
                  <w14:solidFill>
                    <w14:schemeClr w14:val="tx1"/>
                  </w14:solidFill>
                </w14:textFill>
              </w:rPr>
              <w:t>总投资（万元）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87" w:type="dxa"/>
            <w:vMerge w:val="continue"/>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p>
        </w:tc>
        <w:tc>
          <w:tcPr>
            <w:tcW w:w="2756" w:type="dxa"/>
            <w:vMerge w:val="continue"/>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p>
        </w:tc>
        <w:tc>
          <w:tcPr>
            <w:tcW w:w="1088" w:type="dxa"/>
            <w:vMerge w:val="continue"/>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p>
        </w:tc>
        <w:tc>
          <w:tcPr>
            <w:tcW w:w="1357" w:type="dxa"/>
            <w:vMerge w:val="continue"/>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p>
        </w:tc>
        <w:tc>
          <w:tcPr>
            <w:tcW w:w="1446" w:type="dxa"/>
            <w:vMerge w:val="continue"/>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p>
        </w:tc>
        <w:tc>
          <w:tcPr>
            <w:tcW w:w="1233" w:type="dxa"/>
            <w:vMerge w:val="continue"/>
            <w:vAlign w:val="center"/>
          </w:tcPr>
          <w:p>
            <w:pPr>
              <w:widowControl/>
              <w:snapToGrid w:val="0"/>
              <w:jc w:val="center"/>
              <w:rPr>
                <w:rFonts w:ascii="Times New Roman" w:hAnsi="Times New Roman" w:eastAsia="方正仿宋简体"/>
                <w:b/>
                <w:bCs/>
                <w:color w:val="000000" w:themeColor="text1"/>
                <w:kern w:val="0"/>
                <w:sz w:val="28"/>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87" w:type="dxa"/>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1</w:t>
            </w:r>
          </w:p>
        </w:tc>
        <w:tc>
          <w:tcPr>
            <w:tcW w:w="2756" w:type="dxa"/>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翻耙机（套）</w:t>
            </w:r>
          </w:p>
        </w:tc>
        <w:tc>
          <w:tcPr>
            <w:tcW w:w="1088"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3</w:t>
            </w:r>
          </w:p>
        </w:tc>
        <w:tc>
          <w:tcPr>
            <w:tcW w:w="1357"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120000</w:t>
            </w:r>
          </w:p>
        </w:tc>
        <w:tc>
          <w:tcPr>
            <w:tcW w:w="1446" w:type="dxa"/>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2025年</w:t>
            </w:r>
          </w:p>
        </w:tc>
        <w:tc>
          <w:tcPr>
            <w:tcW w:w="1233"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87" w:type="dxa"/>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2</w:t>
            </w:r>
          </w:p>
        </w:tc>
        <w:tc>
          <w:tcPr>
            <w:tcW w:w="2756" w:type="dxa"/>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污水泵送系统（套）</w:t>
            </w:r>
          </w:p>
        </w:tc>
        <w:tc>
          <w:tcPr>
            <w:tcW w:w="1088"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45</w:t>
            </w:r>
          </w:p>
        </w:tc>
        <w:tc>
          <w:tcPr>
            <w:tcW w:w="1357"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8000</w:t>
            </w:r>
          </w:p>
        </w:tc>
        <w:tc>
          <w:tcPr>
            <w:tcW w:w="1446" w:type="dxa"/>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2025年</w:t>
            </w:r>
          </w:p>
        </w:tc>
        <w:tc>
          <w:tcPr>
            <w:tcW w:w="1233"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87" w:type="dxa"/>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3</w:t>
            </w:r>
          </w:p>
        </w:tc>
        <w:tc>
          <w:tcPr>
            <w:tcW w:w="2756" w:type="dxa"/>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清粪设备（套）</w:t>
            </w:r>
          </w:p>
        </w:tc>
        <w:tc>
          <w:tcPr>
            <w:tcW w:w="1088"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15</w:t>
            </w:r>
          </w:p>
        </w:tc>
        <w:tc>
          <w:tcPr>
            <w:tcW w:w="1357"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250000</w:t>
            </w:r>
          </w:p>
        </w:tc>
        <w:tc>
          <w:tcPr>
            <w:tcW w:w="1446" w:type="dxa"/>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2025年</w:t>
            </w:r>
          </w:p>
        </w:tc>
        <w:tc>
          <w:tcPr>
            <w:tcW w:w="1233"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87" w:type="dxa"/>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4</w:t>
            </w:r>
          </w:p>
        </w:tc>
        <w:tc>
          <w:tcPr>
            <w:tcW w:w="2756" w:type="dxa"/>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粪肥专用输送车（辆）</w:t>
            </w:r>
          </w:p>
        </w:tc>
        <w:tc>
          <w:tcPr>
            <w:tcW w:w="1088"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3</w:t>
            </w:r>
          </w:p>
        </w:tc>
        <w:tc>
          <w:tcPr>
            <w:tcW w:w="1357"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300000</w:t>
            </w:r>
          </w:p>
        </w:tc>
        <w:tc>
          <w:tcPr>
            <w:tcW w:w="1446" w:type="dxa"/>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2025年</w:t>
            </w:r>
          </w:p>
        </w:tc>
        <w:tc>
          <w:tcPr>
            <w:tcW w:w="1233"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87" w:type="dxa"/>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5</w:t>
            </w:r>
          </w:p>
        </w:tc>
        <w:tc>
          <w:tcPr>
            <w:tcW w:w="2756" w:type="dxa"/>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撒粪车</w:t>
            </w:r>
          </w:p>
        </w:tc>
        <w:tc>
          <w:tcPr>
            <w:tcW w:w="1088"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20</w:t>
            </w:r>
          </w:p>
        </w:tc>
        <w:tc>
          <w:tcPr>
            <w:tcW w:w="1357"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160000</w:t>
            </w:r>
          </w:p>
        </w:tc>
        <w:tc>
          <w:tcPr>
            <w:tcW w:w="1446" w:type="dxa"/>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2025年</w:t>
            </w:r>
          </w:p>
        </w:tc>
        <w:tc>
          <w:tcPr>
            <w:tcW w:w="1233" w:type="dxa"/>
            <w:shd w:val="clear" w:color="auto" w:fill="auto"/>
            <w:vAlign w:val="center"/>
          </w:tcPr>
          <w:p>
            <w:pPr>
              <w:snapToGrid w:val="0"/>
              <w:jc w:val="center"/>
              <w:rPr>
                <w:rFonts w:ascii="Times New Roman" w:hAnsi="Times New Roman" w:eastAsia="方正仿宋简体"/>
                <w:color w:val="000000"/>
                <w:sz w:val="28"/>
                <w:szCs w:val="30"/>
              </w:rPr>
            </w:pPr>
            <w:r>
              <w:rPr>
                <w:rFonts w:ascii="Times New Roman" w:hAnsi="Times New Roman" w:eastAsia="方正仿宋简体"/>
                <w:color w:val="000000"/>
                <w:sz w:val="28"/>
                <w:szCs w:val="30"/>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134" w:type="dxa"/>
            <w:gridSpan w:val="5"/>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合计</w:t>
            </w:r>
          </w:p>
        </w:tc>
        <w:tc>
          <w:tcPr>
            <w:tcW w:w="1233" w:type="dxa"/>
            <w:shd w:val="clear" w:color="auto" w:fill="auto"/>
            <w:vAlign w:val="center"/>
          </w:tcPr>
          <w:p>
            <w:pPr>
              <w:widowControl/>
              <w:snapToGrid w:val="0"/>
              <w:jc w:val="center"/>
              <w:rPr>
                <w:rFonts w:ascii="Times New Roman" w:hAnsi="Times New Roman" w:eastAsia="方正仿宋简体"/>
                <w:color w:val="000000" w:themeColor="text1"/>
                <w:kern w:val="0"/>
                <w:sz w:val="28"/>
                <w:szCs w:val="30"/>
                <w14:textFill>
                  <w14:solidFill>
                    <w14:schemeClr w14:val="tx1"/>
                  </w14:solidFill>
                </w14:textFill>
              </w:rPr>
            </w:pPr>
            <w:r>
              <w:rPr>
                <w:rFonts w:ascii="Times New Roman" w:hAnsi="Times New Roman" w:eastAsia="方正仿宋简体"/>
                <w:color w:val="000000" w:themeColor="text1"/>
                <w:kern w:val="0"/>
                <w:sz w:val="28"/>
                <w:szCs w:val="30"/>
                <w14:textFill>
                  <w14:solidFill>
                    <w14:schemeClr w14:val="tx1"/>
                  </w14:solidFill>
                </w14:textFill>
              </w:rPr>
              <w:t>857</w:t>
            </w:r>
          </w:p>
        </w:tc>
      </w:tr>
    </w:tbl>
    <w:p>
      <w:pPr>
        <w:pStyle w:val="3"/>
      </w:pPr>
      <w:bookmarkStart w:id="378" w:name="_Toc119856711"/>
      <w:bookmarkStart w:id="379" w:name="_Toc138889008"/>
      <w:bookmarkStart w:id="380" w:name="_Toc119843257"/>
      <w:bookmarkStart w:id="381" w:name="_Toc119835934"/>
      <w:bookmarkStart w:id="382" w:name="_Toc119849252"/>
      <w:bookmarkStart w:id="383" w:name="_Toc119856323"/>
      <w:r>
        <w:t>5.4监管体系建设</w:t>
      </w:r>
      <w:bookmarkEnd w:id="378"/>
      <w:bookmarkEnd w:id="379"/>
      <w:bookmarkEnd w:id="380"/>
      <w:bookmarkEnd w:id="381"/>
      <w:bookmarkEnd w:id="382"/>
      <w:bookmarkEnd w:id="383"/>
    </w:p>
    <w:p>
      <w:pPr>
        <w:spacing w:line="560" w:lineRule="exact"/>
        <w:ind w:firstLine="640" w:firstLineChars="200"/>
        <w:jc w:val="left"/>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完善畜禽养殖环境管理信息，在国家农业部直联直报系统的基础上，完善规模养殖场、专业养殖户、散养户基本信息，建立完善污染物治理及排放信息。实施监管能力建设项目，建设统一管理、分级使用、数据共享的畜禽规模养殖场信息管理平台。加强监测，每年制定监测计划，开展禁限养区内畜禽养殖场及其他可能存在环境风险的养殖场、专业养殖户粪污检测及周边环境监测。监管体系建设项目清单见表5.4-1。</w:t>
      </w:r>
    </w:p>
    <w:p>
      <w:pPr>
        <w:spacing w:line="560" w:lineRule="exact"/>
        <w:ind w:firstLine="640" w:firstLineChars="200"/>
        <w:jc w:val="left"/>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jc w:val="left"/>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jc w:val="left"/>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jc w:val="left"/>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jc w:val="left"/>
        <w:rPr>
          <w:rFonts w:ascii="Times New Roman" w:hAnsi="Times New Roman" w:eastAsia="方正仿宋简体"/>
          <w:color w:val="000000" w:themeColor="text1"/>
          <w:sz w:val="32"/>
          <w:szCs w:val="32"/>
          <w14:textFill>
            <w14:solidFill>
              <w14:schemeClr w14:val="tx1"/>
            </w14:solidFill>
          </w14:textFill>
        </w:rPr>
      </w:pPr>
    </w:p>
    <w:p>
      <w:pPr>
        <w:spacing w:line="560" w:lineRule="exact"/>
        <w:jc w:val="center"/>
        <w:rPr>
          <w:rFonts w:ascii="Times New Roman" w:hAnsi="Times New Roman" w:eastAsia="方正仿宋简体"/>
          <w:b/>
          <w:color w:val="000000" w:themeColor="text1"/>
          <w:spacing w:val="-2"/>
          <w:sz w:val="32"/>
          <w:szCs w:val="32"/>
          <w14:textFill>
            <w14:solidFill>
              <w14:schemeClr w14:val="tx1"/>
            </w14:solidFill>
          </w14:textFill>
        </w:rPr>
      </w:pPr>
      <w:r>
        <w:rPr>
          <w:rFonts w:ascii="Times New Roman" w:hAnsi="Times New Roman" w:eastAsia="方正仿宋简体"/>
          <w:b/>
          <w:color w:val="000000" w:themeColor="text1"/>
          <w:spacing w:val="-2"/>
          <w:sz w:val="32"/>
          <w:szCs w:val="32"/>
          <w14:textFill>
            <w14:solidFill>
              <w14:schemeClr w14:val="tx1"/>
            </w14:solidFill>
          </w14:textFill>
        </w:rPr>
        <w:t>表5.4-1 监管体系建设项目清单</w:t>
      </w:r>
    </w:p>
    <w:tbl>
      <w:tblPr>
        <w:tblStyle w:val="27"/>
        <w:tblW w:w="840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8"/>
        <w:gridCol w:w="1129"/>
        <w:gridCol w:w="2406"/>
        <w:gridCol w:w="1270"/>
        <w:gridCol w:w="1976"/>
        <w:gridCol w:w="11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5" w:type="dxa"/>
            <w:shd w:val="clear" w:color="auto" w:fill="auto"/>
            <w:vAlign w:val="center"/>
          </w:tcPr>
          <w:p>
            <w:pPr>
              <w:snapToGrid w:val="0"/>
              <w:jc w:val="center"/>
              <w:rPr>
                <w:rFonts w:ascii="Times New Roman" w:hAnsi="Times New Roman" w:eastAsia="方正仿宋简体"/>
                <w:b/>
                <w:color w:val="000000" w:themeColor="text1"/>
                <w:sz w:val="28"/>
                <w:szCs w:val="30"/>
                <w14:textFill>
                  <w14:solidFill>
                    <w14:schemeClr w14:val="tx1"/>
                  </w14:solidFill>
                </w14:textFill>
              </w:rPr>
            </w:pPr>
            <w:r>
              <w:rPr>
                <w:rFonts w:ascii="Times New Roman" w:hAnsi="Times New Roman" w:eastAsia="方正仿宋简体"/>
                <w:b/>
                <w:color w:val="000000" w:themeColor="text1"/>
                <w:sz w:val="28"/>
                <w:szCs w:val="30"/>
                <w14:textFill>
                  <w14:solidFill>
                    <w14:schemeClr w14:val="tx1"/>
                  </w14:solidFill>
                </w14:textFill>
              </w:rPr>
              <w:t>序号</w:t>
            </w:r>
          </w:p>
        </w:tc>
        <w:tc>
          <w:tcPr>
            <w:tcW w:w="1134" w:type="dxa"/>
            <w:shd w:val="clear" w:color="auto" w:fill="auto"/>
            <w:vAlign w:val="center"/>
          </w:tcPr>
          <w:p>
            <w:pPr>
              <w:snapToGrid w:val="0"/>
              <w:jc w:val="center"/>
              <w:rPr>
                <w:rFonts w:ascii="Times New Roman" w:hAnsi="Times New Roman" w:eastAsia="方正仿宋简体"/>
                <w:b/>
                <w:color w:val="000000" w:themeColor="text1"/>
                <w:sz w:val="28"/>
                <w:szCs w:val="30"/>
                <w14:textFill>
                  <w14:solidFill>
                    <w14:schemeClr w14:val="tx1"/>
                  </w14:solidFill>
                </w14:textFill>
              </w:rPr>
            </w:pPr>
            <w:r>
              <w:rPr>
                <w:rFonts w:ascii="Times New Roman" w:hAnsi="Times New Roman" w:eastAsia="方正仿宋简体"/>
                <w:b/>
                <w:color w:val="000000" w:themeColor="text1"/>
                <w:sz w:val="28"/>
                <w:szCs w:val="30"/>
                <w14:textFill>
                  <w14:solidFill>
                    <w14:schemeClr w14:val="tx1"/>
                  </w14:solidFill>
                </w14:textFill>
              </w:rPr>
              <w:t>项目名称</w:t>
            </w:r>
          </w:p>
        </w:tc>
        <w:tc>
          <w:tcPr>
            <w:tcW w:w="2418" w:type="dxa"/>
            <w:shd w:val="clear" w:color="auto" w:fill="auto"/>
            <w:vAlign w:val="center"/>
          </w:tcPr>
          <w:p>
            <w:pPr>
              <w:snapToGrid w:val="0"/>
              <w:jc w:val="center"/>
              <w:rPr>
                <w:rFonts w:ascii="Times New Roman" w:hAnsi="Times New Roman" w:eastAsia="方正仿宋简体"/>
                <w:b/>
                <w:color w:val="000000" w:themeColor="text1"/>
                <w:sz w:val="28"/>
                <w:szCs w:val="30"/>
                <w14:textFill>
                  <w14:solidFill>
                    <w14:schemeClr w14:val="tx1"/>
                  </w14:solidFill>
                </w14:textFill>
              </w:rPr>
            </w:pPr>
            <w:r>
              <w:rPr>
                <w:rFonts w:ascii="Times New Roman" w:hAnsi="Times New Roman" w:eastAsia="方正仿宋简体"/>
                <w:b/>
                <w:color w:val="000000" w:themeColor="text1"/>
                <w:sz w:val="28"/>
                <w:szCs w:val="30"/>
                <w14:textFill>
                  <w14:solidFill>
                    <w14:schemeClr w14:val="tx1"/>
                  </w14:solidFill>
                </w14:textFill>
              </w:rPr>
              <w:t>项目内容</w:t>
            </w:r>
          </w:p>
        </w:tc>
        <w:tc>
          <w:tcPr>
            <w:tcW w:w="1276" w:type="dxa"/>
            <w:shd w:val="clear" w:color="auto" w:fill="auto"/>
            <w:vAlign w:val="center"/>
          </w:tcPr>
          <w:p>
            <w:pPr>
              <w:snapToGrid w:val="0"/>
              <w:jc w:val="center"/>
              <w:rPr>
                <w:rFonts w:ascii="Times New Roman" w:hAnsi="Times New Roman" w:eastAsia="方正仿宋简体"/>
                <w:b/>
                <w:color w:val="000000" w:themeColor="text1"/>
                <w:sz w:val="28"/>
                <w:szCs w:val="30"/>
                <w14:textFill>
                  <w14:solidFill>
                    <w14:schemeClr w14:val="tx1"/>
                  </w14:solidFill>
                </w14:textFill>
              </w:rPr>
            </w:pPr>
            <w:r>
              <w:rPr>
                <w:rFonts w:ascii="Times New Roman" w:hAnsi="Times New Roman" w:eastAsia="方正仿宋简体"/>
                <w:b/>
                <w:color w:val="000000" w:themeColor="text1"/>
                <w:sz w:val="28"/>
                <w:szCs w:val="30"/>
                <w14:textFill>
                  <w14:solidFill>
                    <w14:schemeClr w14:val="tx1"/>
                  </w14:solidFill>
                </w14:textFill>
              </w:rPr>
              <w:t>建设周期</w:t>
            </w:r>
          </w:p>
        </w:tc>
        <w:tc>
          <w:tcPr>
            <w:tcW w:w="1985" w:type="dxa"/>
            <w:vAlign w:val="center"/>
          </w:tcPr>
          <w:p>
            <w:pPr>
              <w:snapToGrid w:val="0"/>
              <w:jc w:val="center"/>
              <w:rPr>
                <w:rFonts w:ascii="Times New Roman" w:hAnsi="Times New Roman" w:eastAsia="方正仿宋简体"/>
                <w:b/>
                <w:color w:val="000000" w:themeColor="text1"/>
                <w:sz w:val="28"/>
                <w:szCs w:val="30"/>
                <w14:textFill>
                  <w14:solidFill>
                    <w14:schemeClr w14:val="tx1"/>
                  </w14:solidFill>
                </w14:textFill>
              </w:rPr>
            </w:pPr>
            <w:r>
              <w:rPr>
                <w:rFonts w:ascii="Times New Roman" w:hAnsi="Times New Roman" w:eastAsia="方正仿宋简体"/>
                <w:b/>
                <w:color w:val="000000" w:themeColor="text1"/>
                <w:sz w:val="28"/>
                <w:szCs w:val="30"/>
                <w14:textFill>
                  <w14:solidFill>
                    <w14:schemeClr w14:val="tx1"/>
                  </w14:solidFill>
                </w14:textFill>
              </w:rPr>
              <w:t>责任单位</w:t>
            </w:r>
          </w:p>
        </w:tc>
        <w:tc>
          <w:tcPr>
            <w:tcW w:w="1123" w:type="dxa"/>
            <w:shd w:val="clear" w:color="auto" w:fill="auto"/>
            <w:vAlign w:val="center"/>
          </w:tcPr>
          <w:p>
            <w:pPr>
              <w:snapToGrid w:val="0"/>
              <w:jc w:val="center"/>
              <w:rPr>
                <w:rFonts w:ascii="Times New Roman" w:hAnsi="Times New Roman" w:eastAsia="方正仿宋简体"/>
                <w:b/>
                <w:color w:val="000000" w:themeColor="text1"/>
                <w:sz w:val="28"/>
                <w:szCs w:val="30"/>
                <w14:textFill>
                  <w14:solidFill>
                    <w14:schemeClr w14:val="tx1"/>
                  </w14:solidFill>
                </w14:textFill>
              </w:rPr>
            </w:pPr>
            <w:r>
              <w:rPr>
                <w:rFonts w:ascii="Times New Roman" w:hAnsi="Times New Roman" w:eastAsia="方正仿宋简体"/>
                <w:b/>
                <w:color w:val="000000" w:themeColor="text1"/>
                <w:sz w:val="28"/>
                <w:szCs w:val="30"/>
                <w14:textFill>
                  <w14:solidFill>
                    <w14:schemeClr w14:val="tx1"/>
                  </w14:solidFill>
                </w14:textFill>
              </w:rPr>
              <w:t>项目投资（万元）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0" w:hRule="atLeast"/>
          <w:jc w:val="center"/>
        </w:trPr>
        <w:tc>
          <w:tcPr>
            <w:tcW w:w="465" w:type="dxa"/>
            <w:shd w:val="clear" w:color="auto" w:fill="auto"/>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1</w:t>
            </w:r>
          </w:p>
        </w:tc>
        <w:tc>
          <w:tcPr>
            <w:tcW w:w="1134" w:type="dxa"/>
            <w:shd w:val="clear" w:color="auto" w:fill="auto"/>
            <w:vAlign w:val="center"/>
          </w:tcPr>
          <w:p>
            <w:pPr>
              <w:autoSpaceDE w:val="0"/>
              <w:autoSpaceDN w:val="0"/>
              <w:adjustRightInd w:val="0"/>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监管能力建设项目</w:t>
            </w:r>
          </w:p>
        </w:tc>
        <w:tc>
          <w:tcPr>
            <w:tcW w:w="2418" w:type="dxa"/>
            <w:shd w:val="clear" w:color="auto" w:fill="auto"/>
            <w:vAlign w:val="center"/>
          </w:tcPr>
          <w:p>
            <w:pPr>
              <w:autoSpaceDE w:val="0"/>
              <w:autoSpaceDN w:val="0"/>
              <w:adjustRightInd w:val="0"/>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围绕养殖生产、粪污资源化处理等数据链条，建设统一管理、分级使用、数据共享的畜禽规模养殖场信息管理平台。</w:t>
            </w:r>
          </w:p>
        </w:tc>
        <w:tc>
          <w:tcPr>
            <w:tcW w:w="1276" w:type="dxa"/>
            <w:shd w:val="clear" w:color="auto" w:fill="auto"/>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持续</w:t>
            </w:r>
          </w:p>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推进</w:t>
            </w:r>
          </w:p>
        </w:tc>
        <w:tc>
          <w:tcPr>
            <w:tcW w:w="1985" w:type="dxa"/>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济宁市生态环境局北湖省级旅游度假区分局、济宁北湖省级旅游度假区农业服务中心</w:t>
            </w:r>
          </w:p>
        </w:tc>
        <w:tc>
          <w:tcPr>
            <w:tcW w:w="1123" w:type="dxa"/>
            <w:shd w:val="clear" w:color="auto" w:fill="auto"/>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3" w:hRule="atLeast"/>
          <w:jc w:val="center"/>
        </w:trPr>
        <w:tc>
          <w:tcPr>
            <w:tcW w:w="465" w:type="dxa"/>
            <w:shd w:val="clear" w:color="auto" w:fill="auto"/>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2</w:t>
            </w:r>
          </w:p>
        </w:tc>
        <w:tc>
          <w:tcPr>
            <w:tcW w:w="1134" w:type="dxa"/>
            <w:shd w:val="clear" w:color="auto" w:fill="auto"/>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环境监测项目</w:t>
            </w:r>
          </w:p>
        </w:tc>
        <w:tc>
          <w:tcPr>
            <w:tcW w:w="2418" w:type="dxa"/>
            <w:shd w:val="clear" w:color="auto" w:fill="auto"/>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开展禁限养区内畜禽养殖场及其他可能存在环境风险的养殖场、专业养殖户粪污检测及周边环境监测。</w:t>
            </w:r>
          </w:p>
        </w:tc>
        <w:tc>
          <w:tcPr>
            <w:tcW w:w="1276" w:type="dxa"/>
            <w:shd w:val="clear" w:color="auto" w:fill="auto"/>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持续</w:t>
            </w:r>
          </w:p>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推进</w:t>
            </w:r>
          </w:p>
        </w:tc>
        <w:tc>
          <w:tcPr>
            <w:tcW w:w="1985" w:type="dxa"/>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济宁市生态环境局北湖省级旅游度假区分局</w:t>
            </w:r>
          </w:p>
        </w:tc>
        <w:tc>
          <w:tcPr>
            <w:tcW w:w="1123" w:type="dxa"/>
            <w:shd w:val="clear" w:color="auto" w:fill="auto"/>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7278" w:type="dxa"/>
            <w:gridSpan w:val="5"/>
            <w:shd w:val="clear" w:color="auto" w:fill="auto"/>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投资合计（万元）</w:t>
            </w:r>
          </w:p>
        </w:tc>
        <w:tc>
          <w:tcPr>
            <w:tcW w:w="1123" w:type="dxa"/>
            <w:shd w:val="clear" w:color="auto" w:fill="auto"/>
            <w:vAlign w:val="center"/>
          </w:tcPr>
          <w:p>
            <w:pPr>
              <w:snapToGrid w:val="0"/>
              <w:jc w:val="center"/>
              <w:rPr>
                <w:rFonts w:ascii="Times New Roman" w:hAnsi="Times New Roman" w:eastAsia="方正仿宋简体"/>
                <w:color w:val="000000" w:themeColor="text1"/>
                <w:sz w:val="28"/>
                <w:szCs w:val="30"/>
                <w14:textFill>
                  <w14:solidFill>
                    <w14:schemeClr w14:val="tx1"/>
                  </w14:solidFill>
                </w14:textFill>
              </w:rPr>
            </w:pPr>
            <w:r>
              <w:rPr>
                <w:rFonts w:ascii="Times New Roman" w:hAnsi="Times New Roman" w:eastAsia="方正仿宋简体"/>
                <w:color w:val="000000" w:themeColor="text1"/>
                <w:sz w:val="28"/>
                <w:szCs w:val="30"/>
                <w14:textFill>
                  <w14:solidFill>
                    <w14:schemeClr w14:val="tx1"/>
                  </w14:solidFill>
                </w14:textFill>
              </w:rPr>
              <w:t>350</w:t>
            </w:r>
          </w:p>
        </w:tc>
      </w:tr>
    </w:tbl>
    <w:p>
      <w:pPr>
        <w:spacing w:line="560" w:lineRule="exact"/>
        <w:rPr>
          <w:rFonts w:ascii="Times New Roman" w:hAnsi="Times New Roman" w:eastAsia="方正仿宋简体"/>
          <w:color w:val="000000" w:themeColor="text1"/>
          <w:spacing w:val="-2"/>
          <w:sz w:val="32"/>
          <w:szCs w:val="32"/>
          <w14:textFill>
            <w14:solidFill>
              <w14:schemeClr w14:val="tx1"/>
            </w14:solidFill>
          </w14:textFill>
        </w:rPr>
      </w:pPr>
    </w:p>
    <w:p>
      <w:pPr>
        <w:spacing w:line="560" w:lineRule="exact"/>
        <w:jc w:val="center"/>
        <w:rPr>
          <w:rFonts w:ascii="Times New Roman" w:hAnsi="Times New Roman" w:eastAsia="方正仿宋简体"/>
          <w:b/>
          <w:color w:val="000000" w:themeColor="text1"/>
          <w:kern w:val="0"/>
          <w:sz w:val="32"/>
          <w:szCs w:val="32"/>
          <w14:textFill>
            <w14:solidFill>
              <w14:schemeClr w14:val="tx1"/>
            </w14:solidFill>
          </w14:textFill>
        </w:rPr>
        <w:sectPr>
          <w:pgSz w:w="11906" w:h="16838"/>
          <w:pgMar w:top="2098" w:right="1588" w:bottom="2098" w:left="1588" w:header="851" w:footer="992" w:gutter="0"/>
          <w:cols w:space="425" w:num="1"/>
          <w:docGrid w:type="lines" w:linePitch="312" w:charSpace="0"/>
        </w:sectPr>
      </w:pPr>
    </w:p>
    <w:p>
      <w:pPr>
        <w:pStyle w:val="2"/>
        <w:spacing w:before="0" w:after="0" w:line="560" w:lineRule="exact"/>
        <w:jc w:val="left"/>
        <w:rPr>
          <w:rFonts w:ascii="Times New Roman" w:hAnsi="Times New Roman" w:eastAsia="方正黑体简体"/>
          <w:b w:val="0"/>
          <w:color w:val="000000" w:themeColor="text1"/>
          <w:sz w:val="32"/>
          <w:szCs w:val="32"/>
          <w14:textFill>
            <w14:solidFill>
              <w14:schemeClr w14:val="tx1"/>
            </w14:solidFill>
          </w14:textFill>
        </w:rPr>
      </w:pPr>
      <w:bookmarkStart w:id="384" w:name="_Toc119835935"/>
      <w:bookmarkStart w:id="385" w:name="_Toc119843258"/>
      <w:bookmarkStart w:id="386" w:name="_Toc119856712"/>
      <w:bookmarkStart w:id="387" w:name="_Toc119849253"/>
      <w:bookmarkStart w:id="388" w:name="_Toc119856324"/>
      <w:bookmarkStart w:id="389" w:name="_Toc138889009"/>
      <w:r>
        <w:rPr>
          <w:rFonts w:ascii="Times New Roman" w:hAnsi="Times New Roman" w:eastAsia="方正黑体简体"/>
          <w:b w:val="0"/>
          <w:color w:val="000000" w:themeColor="text1"/>
          <w:sz w:val="32"/>
          <w:szCs w:val="32"/>
          <w14:textFill>
            <w14:solidFill>
              <w14:schemeClr w14:val="tx1"/>
            </w14:solidFill>
          </w14:textFill>
        </w:rPr>
        <w:t>6工程投资估算与资金筹措</w:t>
      </w:r>
      <w:bookmarkEnd w:id="384"/>
      <w:bookmarkEnd w:id="385"/>
      <w:bookmarkEnd w:id="386"/>
      <w:bookmarkEnd w:id="387"/>
      <w:bookmarkEnd w:id="388"/>
      <w:bookmarkEnd w:id="389"/>
    </w:p>
    <w:p>
      <w:pPr>
        <w:pStyle w:val="3"/>
      </w:pPr>
      <w:bookmarkStart w:id="390" w:name="_Toc119856325"/>
      <w:bookmarkStart w:id="391" w:name="_Toc119856713"/>
      <w:bookmarkStart w:id="392" w:name="_Toc138889010"/>
      <w:bookmarkStart w:id="393" w:name="_Toc119835936"/>
      <w:bookmarkStart w:id="394" w:name="_Toc119843259"/>
      <w:bookmarkStart w:id="395" w:name="_Toc119849254"/>
      <w:r>
        <w:t>6.1工程投资估算</w:t>
      </w:r>
      <w:bookmarkEnd w:id="390"/>
      <w:bookmarkEnd w:id="391"/>
      <w:bookmarkEnd w:id="392"/>
      <w:bookmarkEnd w:id="393"/>
      <w:bookmarkEnd w:id="394"/>
      <w:bookmarkEnd w:id="395"/>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本规划重点工程项目包括：畜禽规模养殖场及散养户粪污处理设施建设、畜禽粪污集中处理设施建设、田间配套设施建设、监管体系建设四大类，工程投资估算共计</w:t>
      </w:r>
      <w:r>
        <w:rPr>
          <w:rFonts w:ascii="Times New Roman" w:hAnsi="Times New Roman" w:eastAsia="方正仿宋简体"/>
          <w:color w:val="000000"/>
          <w:sz w:val="32"/>
          <w:szCs w:val="32"/>
        </w:rPr>
        <w:t>4552.6</w:t>
      </w:r>
      <w:r>
        <w:rPr>
          <w:rFonts w:ascii="Times New Roman" w:hAnsi="Times New Roman" w:eastAsia="方正仿宋简体"/>
          <w:color w:val="000000" w:themeColor="text1"/>
          <w:sz w:val="32"/>
          <w:szCs w:val="32"/>
          <w14:textFill>
            <w14:solidFill>
              <w14:schemeClr w14:val="tx1"/>
            </w14:solidFill>
          </w14:textFill>
        </w:rPr>
        <w:t>万元，具体为：畜禽养殖场户粪污处理设施建设投资</w:t>
      </w:r>
      <w:r>
        <w:rPr>
          <w:rFonts w:ascii="Times New Roman" w:hAnsi="Times New Roman" w:eastAsia="方正仿宋简体"/>
          <w:color w:val="000000"/>
          <w:sz w:val="32"/>
          <w:szCs w:val="32"/>
        </w:rPr>
        <w:t>345.6</w:t>
      </w:r>
      <w:r>
        <w:rPr>
          <w:rFonts w:ascii="Times New Roman" w:hAnsi="Times New Roman" w:eastAsia="方正仿宋简体"/>
          <w:color w:val="000000" w:themeColor="text1"/>
          <w:sz w:val="32"/>
          <w:szCs w:val="32"/>
          <w14:textFill>
            <w14:solidFill>
              <w14:schemeClr w14:val="tx1"/>
            </w14:solidFill>
          </w14:textFill>
        </w:rPr>
        <w:t>万元；畜禽粪污集中处理设施建设投资</w:t>
      </w:r>
      <w:r>
        <w:rPr>
          <w:rFonts w:ascii="Times New Roman" w:hAnsi="Times New Roman" w:eastAsia="方正仿宋简体"/>
          <w:color w:val="000000"/>
          <w:sz w:val="32"/>
          <w:szCs w:val="32"/>
        </w:rPr>
        <w:t>3000</w:t>
      </w:r>
      <w:r>
        <w:rPr>
          <w:rFonts w:ascii="Times New Roman" w:hAnsi="Times New Roman" w:eastAsia="方正仿宋简体"/>
          <w:color w:val="000000" w:themeColor="text1"/>
          <w:sz w:val="32"/>
          <w:szCs w:val="32"/>
          <w14:textFill>
            <w14:solidFill>
              <w14:schemeClr w14:val="tx1"/>
            </w14:solidFill>
          </w14:textFill>
        </w:rPr>
        <w:t>万元，田间配套设施建设投资</w:t>
      </w:r>
      <w:r>
        <w:rPr>
          <w:rFonts w:ascii="Times New Roman" w:hAnsi="Times New Roman" w:eastAsia="方正仿宋简体"/>
          <w:color w:val="000000"/>
          <w:sz w:val="32"/>
          <w:szCs w:val="32"/>
        </w:rPr>
        <w:t>857</w:t>
      </w:r>
      <w:r>
        <w:rPr>
          <w:rFonts w:ascii="Times New Roman" w:hAnsi="Times New Roman" w:eastAsia="方正仿宋简体"/>
          <w:color w:val="000000" w:themeColor="text1"/>
          <w:sz w:val="32"/>
          <w:szCs w:val="32"/>
          <w14:textFill>
            <w14:solidFill>
              <w14:schemeClr w14:val="tx1"/>
            </w14:solidFill>
          </w14:textFill>
        </w:rPr>
        <w:t>万元，监管体系建设投资350.00万元。工程投资估算见表6.1-1。</w:t>
      </w:r>
    </w:p>
    <w:p>
      <w:pPr>
        <w:spacing w:line="560" w:lineRule="exact"/>
        <w:jc w:val="center"/>
        <w:rPr>
          <w:rFonts w:ascii="Times New Roman" w:hAnsi="Times New Roman" w:eastAsia="方正仿宋简体"/>
          <w:b/>
          <w:color w:val="000000" w:themeColor="text1"/>
          <w:spacing w:val="-2"/>
          <w:sz w:val="32"/>
          <w:szCs w:val="32"/>
          <w14:textFill>
            <w14:solidFill>
              <w14:schemeClr w14:val="tx1"/>
            </w14:solidFill>
          </w14:textFill>
        </w:rPr>
      </w:pPr>
      <w:r>
        <w:rPr>
          <w:rFonts w:ascii="Times New Roman" w:hAnsi="Times New Roman" w:eastAsia="方正仿宋简体"/>
          <w:b/>
          <w:color w:val="000000" w:themeColor="text1"/>
          <w:spacing w:val="-2"/>
          <w:sz w:val="32"/>
          <w:szCs w:val="32"/>
          <w14:textFill>
            <w14:solidFill>
              <w14:schemeClr w14:val="tx1"/>
            </w14:solidFill>
          </w14:textFill>
        </w:rPr>
        <w:t>表6.1-1 工程投资估算表</w:t>
      </w:r>
    </w:p>
    <w:tbl>
      <w:tblPr>
        <w:tblStyle w:val="27"/>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4120"/>
        <w:gridCol w:w="1940"/>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85" w:type="dxa"/>
            <w:vMerge w:val="restart"/>
            <w:shd w:val="clear" w:color="auto" w:fill="auto"/>
            <w:noWrap/>
            <w:vAlign w:val="center"/>
          </w:tcPr>
          <w:p>
            <w:pPr>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序号</w:t>
            </w:r>
          </w:p>
        </w:tc>
        <w:tc>
          <w:tcPr>
            <w:tcW w:w="4120" w:type="dxa"/>
            <w:vMerge w:val="restart"/>
            <w:shd w:val="clear" w:color="auto" w:fill="auto"/>
            <w:noWrap/>
            <w:vAlign w:val="center"/>
          </w:tcPr>
          <w:p>
            <w:pPr>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工程类别</w:t>
            </w:r>
          </w:p>
        </w:tc>
        <w:tc>
          <w:tcPr>
            <w:tcW w:w="1940" w:type="dxa"/>
            <w:vMerge w:val="restart"/>
            <w:shd w:val="clear" w:color="auto" w:fill="auto"/>
            <w:noWrap/>
            <w:vAlign w:val="center"/>
          </w:tcPr>
          <w:p>
            <w:pPr>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总投资</w:t>
            </w:r>
          </w:p>
          <w:p>
            <w:pPr>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（万元）</w:t>
            </w:r>
          </w:p>
        </w:tc>
        <w:tc>
          <w:tcPr>
            <w:tcW w:w="1357" w:type="dxa"/>
            <w:vMerge w:val="restart"/>
            <w:shd w:val="clear" w:color="auto" w:fill="auto"/>
            <w:noWrap/>
            <w:vAlign w:val="center"/>
          </w:tcPr>
          <w:p>
            <w:pPr>
              <w:snapToGrid w:val="0"/>
              <w:jc w:val="center"/>
              <w:rPr>
                <w:rFonts w:ascii="Times New Roman" w:hAnsi="Times New Roman" w:eastAsia="方正仿宋简体"/>
                <w:b/>
                <w:color w:val="000000" w:themeColor="text1"/>
                <w:kern w:val="0"/>
                <w:sz w:val="28"/>
                <w:szCs w:val="28"/>
                <w14:textFill>
                  <w14:solidFill>
                    <w14:schemeClr w14:val="tx1"/>
                  </w14:solidFill>
                </w14:textFill>
              </w:rPr>
            </w:pPr>
            <w:r>
              <w:rPr>
                <w:rFonts w:ascii="Times New Roman" w:hAnsi="Times New Roman" w:eastAsia="方正仿宋简体"/>
                <w:b/>
                <w:color w:val="000000" w:themeColor="text1"/>
                <w:kern w:val="0"/>
                <w:sz w:val="28"/>
                <w:szCs w:val="28"/>
                <w14:textFill>
                  <w14:solidFill>
                    <w14:schemeClr w14:val="tx1"/>
                  </w14:solidFill>
                </w14:textFill>
              </w:rPr>
              <w:t>投资占比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85" w:type="dxa"/>
            <w:vMerge w:val="continue"/>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4120" w:type="dxa"/>
            <w:vMerge w:val="continue"/>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940" w:type="dxa"/>
            <w:vMerge w:val="continue"/>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c>
          <w:tcPr>
            <w:tcW w:w="1357" w:type="dxa"/>
            <w:vMerge w:val="continue"/>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85"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1</w:t>
            </w:r>
          </w:p>
        </w:tc>
        <w:tc>
          <w:tcPr>
            <w:tcW w:w="4120" w:type="dxa"/>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畜禽养殖场粪污处理设施建设</w:t>
            </w:r>
          </w:p>
        </w:tc>
        <w:tc>
          <w:tcPr>
            <w:tcW w:w="1940"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345.6</w:t>
            </w:r>
          </w:p>
        </w:tc>
        <w:tc>
          <w:tcPr>
            <w:tcW w:w="1357"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85"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2</w:t>
            </w:r>
          </w:p>
        </w:tc>
        <w:tc>
          <w:tcPr>
            <w:tcW w:w="4120" w:type="dxa"/>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畜禽粪污集中处理设施建设</w:t>
            </w:r>
          </w:p>
        </w:tc>
        <w:tc>
          <w:tcPr>
            <w:tcW w:w="1940"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3000</w:t>
            </w:r>
          </w:p>
        </w:tc>
        <w:tc>
          <w:tcPr>
            <w:tcW w:w="1357"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65.90%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85"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3</w:t>
            </w:r>
          </w:p>
        </w:tc>
        <w:tc>
          <w:tcPr>
            <w:tcW w:w="4120" w:type="dxa"/>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田间配套设施建设</w:t>
            </w:r>
          </w:p>
        </w:tc>
        <w:tc>
          <w:tcPr>
            <w:tcW w:w="1940"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857</w:t>
            </w:r>
          </w:p>
        </w:tc>
        <w:tc>
          <w:tcPr>
            <w:tcW w:w="1357"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18.82%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85" w:type="dxa"/>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4</w:t>
            </w:r>
          </w:p>
        </w:tc>
        <w:tc>
          <w:tcPr>
            <w:tcW w:w="4120" w:type="dxa"/>
            <w:shd w:val="clear" w:color="auto" w:fill="auto"/>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监管体系建设</w:t>
            </w:r>
          </w:p>
        </w:tc>
        <w:tc>
          <w:tcPr>
            <w:tcW w:w="1940"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350</w:t>
            </w:r>
          </w:p>
        </w:tc>
        <w:tc>
          <w:tcPr>
            <w:tcW w:w="1357"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005" w:type="dxa"/>
            <w:gridSpan w:val="2"/>
            <w:shd w:val="clear" w:color="auto" w:fill="auto"/>
            <w:noWrap/>
            <w:vAlign w:val="center"/>
          </w:tcPr>
          <w:p>
            <w:pPr>
              <w:widowControl/>
              <w:snapToGrid w:val="0"/>
              <w:jc w:val="center"/>
              <w:rPr>
                <w:rFonts w:ascii="Times New Roman" w:hAnsi="Times New Roman" w:eastAsia="方正仿宋简体"/>
                <w:color w:val="000000" w:themeColor="text1"/>
                <w:kern w:val="0"/>
                <w:sz w:val="28"/>
                <w:szCs w:val="28"/>
                <w14:textFill>
                  <w14:solidFill>
                    <w14:schemeClr w14:val="tx1"/>
                  </w14:solidFill>
                </w14:textFill>
              </w:rPr>
            </w:pPr>
            <w:r>
              <w:rPr>
                <w:rFonts w:ascii="Times New Roman" w:hAnsi="Times New Roman" w:eastAsia="方正仿宋简体"/>
                <w:color w:val="000000" w:themeColor="text1"/>
                <w:kern w:val="0"/>
                <w:sz w:val="28"/>
                <w:szCs w:val="28"/>
                <w14:textFill>
                  <w14:solidFill>
                    <w14:schemeClr w14:val="tx1"/>
                  </w14:solidFill>
                </w14:textFill>
              </w:rPr>
              <w:t>合计</w:t>
            </w:r>
          </w:p>
        </w:tc>
        <w:tc>
          <w:tcPr>
            <w:tcW w:w="1940" w:type="dxa"/>
            <w:shd w:val="clear" w:color="auto" w:fill="auto"/>
            <w:noWrap/>
            <w:vAlign w:val="center"/>
          </w:tcPr>
          <w:p>
            <w:pPr>
              <w:snapToGrid w:val="0"/>
              <w:jc w:val="center"/>
              <w:rPr>
                <w:rFonts w:ascii="Times New Roman" w:hAnsi="Times New Roman" w:eastAsia="方正仿宋简体"/>
                <w:color w:val="000000" w:themeColor="text1"/>
                <w:sz w:val="28"/>
                <w:szCs w:val="28"/>
                <w14:textFill>
                  <w14:solidFill>
                    <w14:schemeClr w14:val="tx1"/>
                  </w14:solidFill>
                </w14:textFill>
              </w:rPr>
            </w:pPr>
            <w:r>
              <w:rPr>
                <w:rFonts w:ascii="Times New Roman" w:hAnsi="Times New Roman" w:eastAsia="方正仿宋简体"/>
                <w:color w:val="000000"/>
                <w:sz w:val="28"/>
                <w:szCs w:val="28"/>
              </w:rPr>
              <w:t>4552.6</w:t>
            </w:r>
          </w:p>
        </w:tc>
        <w:tc>
          <w:tcPr>
            <w:tcW w:w="1357" w:type="dxa"/>
            <w:shd w:val="clear" w:color="auto" w:fill="auto"/>
            <w:noWrap/>
            <w:vAlign w:val="center"/>
          </w:tcPr>
          <w:p>
            <w:pPr>
              <w:snapToGrid w:val="0"/>
              <w:jc w:val="center"/>
              <w:rPr>
                <w:rFonts w:ascii="Times New Roman" w:hAnsi="Times New Roman" w:eastAsia="方正仿宋简体"/>
                <w:color w:val="000000"/>
                <w:sz w:val="28"/>
                <w:szCs w:val="28"/>
              </w:rPr>
            </w:pPr>
            <w:r>
              <w:rPr>
                <w:rFonts w:ascii="Times New Roman" w:hAnsi="Times New Roman" w:eastAsia="方正仿宋简体"/>
                <w:color w:val="000000"/>
                <w:sz w:val="28"/>
                <w:szCs w:val="28"/>
              </w:rPr>
              <w:t>——</w:t>
            </w:r>
          </w:p>
        </w:tc>
      </w:tr>
    </w:tbl>
    <w:p>
      <w:pPr>
        <w:pStyle w:val="3"/>
      </w:pPr>
      <w:bookmarkStart w:id="396" w:name="_Toc119835937"/>
      <w:bookmarkStart w:id="397" w:name="_Toc119849255"/>
      <w:bookmarkStart w:id="398" w:name="_Toc119856714"/>
      <w:bookmarkStart w:id="399" w:name="_Toc119843260"/>
      <w:bookmarkStart w:id="400" w:name="_Toc138889011"/>
      <w:bookmarkStart w:id="401" w:name="_Toc119856326"/>
      <w:r>
        <w:t>6.2资金筹措</w:t>
      </w:r>
      <w:bookmarkEnd w:id="396"/>
      <w:bookmarkEnd w:id="397"/>
      <w:bookmarkEnd w:id="398"/>
      <w:bookmarkEnd w:id="399"/>
      <w:bookmarkEnd w:id="400"/>
      <w:bookmarkEnd w:id="401"/>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济宁太白湖新区畜禽养殖污染防治建设工程投资估算共计</w:t>
      </w:r>
      <w:r>
        <w:rPr>
          <w:rFonts w:ascii="Times New Roman" w:hAnsi="Times New Roman" w:eastAsia="方正仿宋简体"/>
          <w:color w:val="000000"/>
          <w:sz w:val="32"/>
          <w:szCs w:val="32"/>
        </w:rPr>
        <w:t>4552.6</w:t>
      </w:r>
      <w:r>
        <w:rPr>
          <w:rFonts w:ascii="Times New Roman" w:hAnsi="Times New Roman" w:eastAsia="方正仿宋简体"/>
          <w:color w:val="000000" w:themeColor="text1"/>
          <w:sz w:val="32"/>
          <w:szCs w:val="32"/>
          <w14:textFill>
            <w14:solidFill>
              <w14:schemeClr w14:val="tx1"/>
            </w14:solidFill>
          </w14:textFill>
        </w:rPr>
        <w:t>万元。资金投入的基本原则是通过产业政策引导、环境政策引导两个方向，引导企业和社会资本投入为主，强化引导、约束、扶持力度。依靠企业自身和社会资本解决发展和环境的问题，政府资金投入主要针对公益性设施和奖励扶持两个方向，强化系统性政策约束，以体制建设保障规划的有效实施。资金来源主要通过中央及地方环保和涉农专项资金、各级财政资金投入、社会资本投入、企业自行投入等方面进行筹措。</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中央及地方环保和涉农专项资金。结合国家及地方专项资金的申请方向，做好前期工作，包装整合污染治理项目，依托企业的资源优势，努力争取专项资金支持。</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各级财政资金投入。重点瞄准公益性环境改善项目，以减少区域养殖污染排放、改善区域环境为核心。同时强化财政资金对市场的引导作用，引导市场向畜禽养殖废弃物资源化利用方向发展。</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社会资本投入。创新畜禽养殖污染防治领域的运营模式，通过PPP、EOD等方式降低运营成本和市场风险，畅通社会资本进入的渠道。政府围绕标准化规模养殖、沼气资源化利用、有机肥推广等关键环节出台扶持政策，有效引导社会资本向养殖污染防治和资源化方向投入。</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sectPr>
          <w:pgSz w:w="11906" w:h="16838"/>
          <w:pgMar w:top="2098" w:right="1588" w:bottom="2098" w:left="1588" w:header="851" w:footer="992" w:gutter="0"/>
          <w:cols w:space="425" w:num="1"/>
          <w:docGrid w:type="lines" w:linePitch="312" w:charSpace="0"/>
        </w:sectPr>
      </w:pPr>
      <w:r>
        <w:rPr>
          <w:rFonts w:ascii="Times New Roman" w:hAnsi="Times New Roman" w:eastAsia="方正仿宋简体"/>
          <w:color w:val="000000" w:themeColor="text1"/>
          <w:sz w:val="32"/>
          <w:szCs w:val="32"/>
          <w14:textFill>
            <w14:solidFill>
              <w14:schemeClr w14:val="tx1"/>
            </w14:solidFill>
          </w14:textFill>
        </w:rPr>
        <w:t>企业自行投入。依托国家、省、市畜禽养殖产业优化发展相关扶持、鼓励政策调动企业污染治理和资源化利用的积极性，鼓励企业在完善污染治理的同时，通过延长产业链，实现养殖、治理、利用的循环链条。从而实现环境治理和企业发展双赢。</w:t>
      </w:r>
    </w:p>
    <w:p>
      <w:pPr>
        <w:pStyle w:val="2"/>
        <w:spacing w:before="0" w:after="0" w:line="560" w:lineRule="exact"/>
        <w:jc w:val="left"/>
        <w:rPr>
          <w:rFonts w:ascii="Times New Roman" w:hAnsi="Times New Roman" w:eastAsia="方正黑体简体"/>
          <w:b w:val="0"/>
          <w:color w:val="000000" w:themeColor="text1"/>
          <w:sz w:val="32"/>
          <w:szCs w:val="32"/>
          <w14:textFill>
            <w14:solidFill>
              <w14:schemeClr w14:val="tx1"/>
            </w14:solidFill>
          </w14:textFill>
        </w:rPr>
      </w:pPr>
      <w:bookmarkStart w:id="402" w:name="_Toc119835938"/>
      <w:bookmarkStart w:id="403" w:name="_Toc119843261"/>
      <w:bookmarkStart w:id="404" w:name="_Toc119856327"/>
      <w:bookmarkStart w:id="405" w:name="_Toc119856715"/>
      <w:bookmarkStart w:id="406" w:name="_Toc138889012"/>
      <w:bookmarkStart w:id="407" w:name="_Toc119849256"/>
      <w:r>
        <w:rPr>
          <w:rFonts w:ascii="Times New Roman" w:hAnsi="Times New Roman" w:eastAsia="方正黑体简体"/>
          <w:b w:val="0"/>
          <w:color w:val="000000" w:themeColor="text1"/>
          <w:sz w:val="32"/>
          <w:szCs w:val="32"/>
          <w14:textFill>
            <w14:solidFill>
              <w14:schemeClr w14:val="tx1"/>
            </w14:solidFill>
          </w14:textFill>
        </w:rPr>
        <w:t>7效益分析</w:t>
      </w:r>
      <w:bookmarkEnd w:id="402"/>
      <w:bookmarkEnd w:id="403"/>
      <w:bookmarkEnd w:id="404"/>
      <w:bookmarkEnd w:id="405"/>
      <w:bookmarkEnd w:id="406"/>
      <w:bookmarkEnd w:id="407"/>
    </w:p>
    <w:p>
      <w:pPr>
        <w:pStyle w:val="3"/>
      </w:pPr>
      <w:bookmarkStart w:id="408" w:name="_Toc119856716"/>
      <w:bookmarkStart w:id="409" w:name="_Toc119835939"/>
      <w:bookmarkStart w:id="410" w:name="_Toc119843262"/>
      <w:bookmarkStart w:id="411" w:name="_Toc138889013"/>
      <w:bookmarkStart w:id="412" w:name="_Toc119856328"/>
      <w:bookmarkStart w:id="413" w:name="_Toc119849257"/>
      <w:r>
        <w:t>7.1环境效益</w:t>
      </w:r>
      <w:bookmarkEnd w:id="408"/>
      <w:bookmarkEnd w:id="409"/>
      <w:bookmarkEnd w:id="410"/>
      <w:bookmarkEnd w:id="411"/>
      <w:bookmarkEnd w:id="412"/>
      <w:bookmarkEnd w:id="413"/>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统筹安排、合理设计畜禽养殖废弃物综合利用和污染治理项目，可有效减少养殖粪污排放量，削减COD、NH</w:t>
      </w:r>
      <w:r>
        <w:rPr>
          <w:rFonts w:ascii="Times New Roman" w:hAnsi="Times New Roman" w:eastAsia="方正仿宋简体"/>
          <w:color w:val="000000" w:themeColor="text1"/>
          <w:sz w:val="32"/>
          <w:szCs w:val="32"/>
          <w:vertAlign w:val="subscript"/>
          <w14:textFill>
            <w14:solidFill>
              <w14:schemeClr w14:val="tx1"/>
            </w14:solidFill>
          </w14:textFill>
        </w:rPr>
        <w:t>3</w:t>
      </w:r>
      <w:r>
        <w:rPr>
          <w:rFonts w:ascii="Times New Roman" w:hAnsi="Times New Roman" w:eastAsia="方正仿宋简体"/>
          <w:color w:val="000000" w:themeColor="text1"/>
          <w:sz w:val="32"/>
          <w:szCs w:val="32"/>
          <w14:textFill>
            <w14:solidFill>
              <w14:schemeClr w14:val="tx1"/>
            </w14:solidFill>
          </w14:textFill>
        </w:rPr>
        <w:t>-N等污染物排放量，减少化肥、农药的施用量，有效控制农业面源污染、改善区域环境质量。</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通过项目建设，每年将促进更多的畜禽粪污转化成有机肥，施用有机肥可有效提升土壤有机质含量，增加土壤养分含量，增强土壤微生物活力，改善土壤结构，提升耕地质量，促进农田永续利用。</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养殖场规范化建设将会发挥积极的引导、带动和辐射作用，提高养殖企业和养殖户自发治污减排的积极性，促进畜禽养殖业污染减排工作持续深入开展，巩固减排工作成效。</w:t>
      </w:r>
    </w:p>
    <w:p>
      <w:pPr>
        <w:pStyle w:val="3"/>
      </w:pPr>
      <w:bookmarkStart w:id="414" w:name="_Toc119856717"/>
      <w:bookmarkStart w:id="415" w:name="_Toc119856329"/>
      <w:bookmarkStart w:id="416" w:name="_Toc138889014"/>
      <w:bookmarkStart w:id="417" w:name="_Toc119843263"/>
      <w:bookmarkStart w:id="418" w:name="_Toc119849258"/>
      <w:bookmarkStart w:id="419" w:name="_Toc119835940"/>
      <w:r>
        <w:t>7.2经济效益</w:t>
      </w:r>
      <w:bookmarkEnd w:id="414"/>
      <w:bookmarkEnd w:id="415"/>
      <w:bookmarkEnd w:id="416"/>
      <w:bookmarkEnd w:id="417"/>
      <w:bookmarkEnd w:id="418"/>
      <w:bookmarkEnd w:id="419"/>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在济宁太白湖新区大力发展种养产业化的趋势下，高原特色农业日渐壮大。规划实施后，能够有效推进济宁太白湖新区畜禽养殖行业规范化、生态化发展，带动企业引进先进技术，舍弃落后养殖方式；能够有效促进济宁太白湖新区畜禽养殖产业发展、企业增收和农民富裕。同时，在落实严格环境准入、强化污染源头管控、加强技术引导示范等措施的同时，也将促进畜禽养殖业的结构调整和布局优化，引导产业规模化、集约化转型，增强可持续发展能力。此外，有机肥生产、沼气能源工程的建设，将促进废弃物综合利用和产业链有效延伸，提高农产品品质和价值，提升产业综合效益，拓宽创收渠道，增加地方财政收入，带动农民致富。</w:t>
      </w:r>
    </w:p>
    <w:p>
      <w:pPr>
        <w:pStyle w:val="3"/>
      </w:pPr>
      <w:bookmarkStart w:id="420" w:name="_Toc119835941"/>
      <w:bookmarkStart w:id="421" w:name="_Toc119843264"/>
      <w:bookmarkStart w:id="422" w:name="_Toc119849259"/>
      <w:bookmarkStart w:id="423" w:name="_Toc119856330"/>
      <w:bookmarkStart w:id="424" w:name="_Toc119856718"/>
      <w:bookmarkStart w:id="425" w:name="_Toc138889015"/>
      <w:r>
        <w:t>7.3社会效益</w:t>
      </w:r>
      <w:bookmarkEnd w:id="420"/>
      <w:bookmarkEnd w:id="421"/>
      <w:bookmarkEnd w:id="422"/>
      <w:bookmarkEnd w:id="423"/>
      <w:bookmarkEnd w:id="424"/>
      <w:bookmarkEnd w:id="425"/>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规划实施推动养殖粪污全面收集和有效处理处置进程，提升地区生态环境污染协调控制能力，减少各养殖场对周边农户生产、生活的影响，将百姓传统印象中养殖场“脏、臭、差、污染大户”的形象改变成“整洁、有序、卫生、环保、生态”新印象，极大改善各养殖场与周边群众的关系，促进了社会和谐。</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在强化污染防治的大势下，严格落实禁养区畜禽养殖场整治，对饮用水水源保护区、自然保护区、城镇居民区和文化教育科学等环境敏感区域进行重点保护，将有效提升农村饮用水安全保障水平，生态环境得到持续保护，居民健康得到保障。</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通过粪污集中处置中心项目建设，畜禽养殖粪污将得到统一收集、集中处理，农村地区粪便乱堆、污水乱排的现象有所改观，村容村貌得到改善，农村人居环境质量得到提高。</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sectPr>
          <w:pgSz w:w="11906" w:h="16838"/>
          <w:pgMar w:top="2098" w:right="1588" w:bottom="2098" w:left="1588" w:header="851" w:footer="992" w:gutter="0"/>
          <w:cols w:space="425" w:num="1"/>
          <w:docGrid w:type="lines" w:linePitch="312" w:charSpace="0"/>
        </w:sectPr>
      </w:pPr>
      <w:r>
        <w:rPr>
          <w:rFonts w:ascii="Times New Roman" w:hAnsi="Times New Roman" w:eastAsia="方正仿宋简体"/>
          <w:color w:val="000000" w:themeColor="text1"/>
          <w:sz w:val="32"/>
          <w:szCs w:val="32"/>
          <w14:textFill>
            <w14:solidFill>
              <w14:schemeClr w14:val="tx1"/>
            </w14:solidFill>
          </w14:textFill>
        </w:rPr>
        <w:t>各养殖场区环境的改善，进一步铲除了细菌、病原菌、蚊蝇等的生存场所，进而减少了消毒杀菌及抗生素等药物的投入，提升畜禽产品品质，为社会公众提供健康保障。养殖-沼液沼渣-有机肥-农田-秸秆-养殖等循环利用各领域，可为周边养殖业、种植业等提供种养结合循环农业相关的示范和推动，从而带动周边产业的高质量发展，改善农村产业发展质量。</w:t>
      </w:r>
    </w:p>
    <w:p>
      <w:pPr>
        <w:pStyle w:val="2"/>
        <w:spacing w:before="0" w:after="0" w:line="560" w:lineRule="exact"/>
        <w:jc w:val="left"/>
        <w:rPr>
          <w:rFonts w:ascii="Times New Roman" w:hAnsi="Times New Roman" w:eastAsia="方正黑体简体"/>
          <w:b w:val="0"/>
          <w:color w:val="000000" w:themeColor="text1"/>
          <w:sz w:val="32"/>
          <w:szCs w:val="32"/>
          <w14:textFill>
            <w14:solidFill>
              <w14:schemeClr w14:val="tx1"/>
            </w14:solidFill>
          </w14:textFill>
        </w:rPr>
      </w:pPr>
      <w:bookmarkStart w:id="426" w:name="_Toc119835942"/>
      <w:bookmarkStart w:id="427" w:name="_Toc119843265"/>
      <w:bookmarkStart w:id="428" w:name="_Toc119849260"/>
      <w:bookmarkStart w:id="429" w:name="_Toc119856331"/>
      <w:bookmarkStart w:id="430" w:name="_Toc138889016"/>
      <w:bookmarkStart w:id="431" w:name="_Toc119856719"/>
      <w:r>
        <w:rPr>
          <w:rFonts w:ascii="Times New Roman" w:hAnsi="Times New Roman" w:eastAsia="方正黑体简体"/>
          <w:b w:val="0"/>
          <w:color w:val="000000" w:themeColor="text1"/>
          <w:sz w:val="32"/>
          <w:szCs w:val="32"/>
          <w14:textFill>
            <w14:solidFill>
              <w14:schemeClr w14:val="tx1"/>
            </w14:solidFill>
          </w14:textFill>
        </w:rPr>
        <w:t>8保障措施</w:t>
      </w:r>
      <w:bookmarkEnd w:id="426"/>
      <w:bookmarkEnd w:id="427"/>
      <w:bookmarkEnd w:id="428"/>
      <w:bookmarkEnd w:id="429"/>
      <w:bookmarkEnd w:id="430"/>
      <w:bookmarkEnd w:id="431"/>
    </w:p>
    <w:p>
      <w:pPr>
        <w:pStyle w:val="3"/>
      </w:pPr>
      <w:bookmarkStart w:id="432" w:name="_Toc138889017"/>
      <w:bookmarkStart w:id="433" w:name="_Toc119843266"/>
      <w:bookmarkStart w:id="434" w:name="_Toc119856332"/>
      <w:bookmarkStart w:id="435" w:name="_Toc119849261"/>
      <w:bookmarkStart w:id="436" w:name="_Toc119835943"/>
      <w:bookmarkStart w:id="437" w:name="_Toc119856720"/>
      <w:r>
        <w:t>8.1加强组织领导，严格目标考核</w:t>
      </w:r>
      <w:bookmarkEnd w:id="432"/>
      <w:bookmarkEnd w:id="433"/>
      <w:bookmarkEnd w:id="434"/>
      <w:bookmarkEnd w:id="435"/>
      <w:bookmarkEnd w:id="436"/>
      <w:bookmarkEnd w:id="437"/>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以</w:t>
      </w:r>
      <w:r>
        <w:rPr>
          <w:rFonts w:hint="eastAsia" w:ascii="Times New Roman" w:hAnsi="Times New Roman" w:eastAsia="方正仿宋简体"/>
          <w:color w:val="000000" w:themeColor="text1"/>
          <w:sz w:val="32"/>
          <w:szCs w:val="32"/>
          <w14:textFill>
            <w14:solidFill>
              <w14:schemeClr w14:val="tx1"/>
            </w14:solidFill>
          </w14:textFill>
        </w:rPr>
        <w:t>济宁太白湖新区管委会</w:t>
      </w:r>
      <w:r>
        <w:rPr>
          <w:rFonts w:ascii="Times New Roman" w:hAnsi="Times New Roman" w:eastAsia="方正仿宋简体"/>
          <w:color w:val="000000" w:themeColor="text1"/>
          <w:sz w:val="32"/>
          <w:szCs w:val="32"/>
          <w14:textFill>
            <w14:solidFill>
              <w14:schemeClr w14:val="tx1"/>
            </w14:solidFill>
          </w14:textFill>
        </w:rPr>
        <w:t>为组织领导机构，由分管副主任任组长，</w:t>
      </w:r>
      <w:r>
        <w:rPr>
          <w:rFonts w:hint="eastAsia" w:ascii="Times New Roman" w:hAnsi="Times New Roman" w:eastAsia="方正仿宋简体"/>
          <w:color w:val="000000" w:themeColor="text1"/>
          <w:sz w:val="32"/>
          <w:szCs w:val="32"/>
          <w14:textFill>
            <w14:solidFill>
              <w14:schemeClr w14:val="tx1"/>
            </w14:solidFill>
          </w14:textFill>
        </w:rPr>
        <w:t>农业</w:t>
      </w:r>
      <w:r>
        <w:rPr>
          <w:rFonts w:ascii="Times New Roman" w:hAnsi="Times New Roman" w:eastAsia="方正仿宋简体"/>
          <w:color w:val="000000" w:themeColor="text1"/>
          <w:sz w:val="32"/>
          <w:szCs w:val="32"/>
          <w14:textFill>
            <w14:solidFill>
              <w14:schemeClr w14:val="tx1"/>
            </w14:solidFill>
          </w14:textFill>
        </w:rPr>
        <w:t>、生态环境、财政等部门和镇街主要负责人为成员，成立济宁太白湖新区畜禽养殖污染防治工作领导小组统筹推进畜禽养殖污染防治工作，落实部门责任，明确工作目标，严格落实目标考核机制，进一步加强对畜禽养殖污染防治工作的组织领导和协调工作，生态环境部门要切实加强监管，建立完善长效监管机制，</w:t>
      </w:r>
      <w:r>
        <w:rPr>
          <w:rFonts w:hint="eastAsia" w:ascii="Times New Roman" w:hAnsi="Times New Roman" w:eastAsia="方正仿宋简体"/>
          <w:color w:val="000000" w:themeColor="text1"/>
          <w:sz w:val="32"/>
          <w:szCs w:val="32"/>
          <w14:textFill>
            <w14:solidFill>
              <w14:schemeClr w14:val="tx1"/>
            </w14:solidFill>
          </w14:textFill>
        </w:rPr>
        <w:t>农业</w:t>
      </w:r>
      <w:r>
        <w:rPr>
          <w:rFonts w:ascii="Times New Roman" w:hAnsi="Times New Roman" w:eastAsia="方正仿宋简体"/>
          <w:color w:val="000000" w:themeColor="text1"/>
          <w:sz w:val="32"/>
          <w:szCs w:val="32"/>
          <w14:textFill>
            <w14:solidFill>
              <w14:schemeClr w14:val="tx1"/>
            </w14:solidFill>
          </w14:textFill>
        </w:rPr>
        <w:t>部门要切实做好技术指导与服务，其他各有关部门和镇街要认真履行职责，做好职责范围内的各项工作，确保济宁太白湖新区畜禽养殖污染防治取得工作实效。</w:t>
      </w:r>
    </w:p>
    <w:p>
      <w:pPr>
        <w:pStyle w:val="3"/>
      </w:pPr>
      <w:bookmarkStart w:id="438" w:name="_Toc119835944"/>
      <w:bookmarkStart w:id="439" w:name="_Toc119843267"/>
      <w:bookmarkStart w:id="440" w:name="_Toc119849262"/>
      <w:bookmarkStart w:id="441" w:name="_Toc138889018"/>
      <w:bookmarkStart w:id="442" w:name="_Toc119856721"/>
      <w:bookmarkStart w:id="443" w:name="_Toc119856333"/>
      <w:r>
        <w:t>8.2加强监督管理，建立监督考核机制</w:t>
      </w:r>
      <w:bookmarkEnd w:id="438"/>
      <w:bookmarkEnd w:id="439"/>
      <w:bookmarkEnd w:id="440"/>
      <w:bookmarkEnd w:id="441"/>
      <w:bookmarkEnd w:id="442"/>
      <w:bookmarkEnd w:id="443"/>
    </w:p>
    <w:p>
      <w:pPr>
        <w:spacing w:line="560" w:lineRule="exact"/>
        <w:ind w:firstLine="640" w:firstLineChars="200"/>
        <w:rPr>
          <w:rFonts w:ascii="Times New Roman" w:hAnsi="Times New Roman" w:eastAsia="方正仿宋简体"/>
          <w:color w:val="000000" w:themeColor="text1"/>
          <w:kern w:val="0"/>
          <w:sz w:val="32"/>
          <w:szCs w:val="32"/>
          <w14:textFill>
            <w14:solidFill>
              <w14:schemeClr w14:val="tx1"/>
            </w14:solidFill>
          </w14:textFill>
        </w:rPr>
      </w:pPr>
      <w:r>
        <w:rPr>
          <w:rFonts w:ascii="Times New Roman" w:hAnsi="Times New Roman" w:eastAsia="方正仿宋简体"/>
          <w:color w:val="000000" w:themeColor="text1"/>
          <w:kern w:val="0"/>
          <w:sz w:val="32"/>
          <w:szCs w:val="32"/>
          <w14:textFill>
            <w14:solidFill>
              <w14:schemeClr w14:val="tx1"/>
            </w14:solidFill>
          </w14:textFill>
        </w:rPr>
        <w:t>生态环境主管部门应将畜禽规模养殖场户纳入日常执法监管范围，强化监督性监测，及时公布监测信息。农业农村主管部门应当定期指导生产经营者科学养殖，科学利用养殖粪污，防止农业面源污染。其他有关部门在各自的权限范围内对畜禽养殖污染防治工作进行监管。</w:t>
      </w:r>
    </w:p>
    <w:p>
      <w:pPr>
        <w:spacing w:line="560" w:lineRule="exact"/>
        <w:ind w:firstLine="640" w:firstLineChars="200"/>
        <w:rPr>
          <w:rFonts w:ascii="Times New Roman" w:hAnsi="Times New Roman" w:eastAsia="方正仿宋简体"/>
          <w:color w:val="000000" w:themeColor="text1"/>
          <w:kern w:val="0"/>
          <w:sz w:val="32"/>
          <w:szCs w:val="32"/>
          <w14:textFill>
            <w14:solidFill>
              <w14:schemeClr w14:val="tx1"/>
            </w14:solidFill>
          </w14:textFill>
        </w:rPr>
      </w:pPr>
      <w:r>
        <w:rPr>
          <w:rFonts w:ascii="Times New Roman" w:hAnsi="Times New Roman" w:eastAsia="方正仿宋简体"/>
          <w:color w:val="000000" w:themeColor="text1"/>
          <w:kern w:val="0"/>
          <w:sz w:val="32"/>
          <w:szCs w:val="32"/>
          <w14:textFill>
            <w14:solidFill>
              <w14:schemeClr w14:val="tx1"/>
            </w14:solidFill>
          </w14:textFill>
        </w:rPr>
        <w:t>建立监督考核机制，组建考核小组，负责对全区畜禽养殖污染防治工作的组织协调及监督考核。组织开展畜禽规模养殖场户污染防治“回头看”工作，检查粪污处理设施设备是否完善、是否正常运转、是否满足生产需要、是否存在安全隐患，并分类做好登记造册，建立台账。鼓励畜禽养殖场户与种植企业、合作社、家庭农场或种植大户签订粪污消纳协议或销售合同，完善粪污处理和利用台账，提升粪污综合利用率。</w:t>
      </w:r>
    </w:p>
    <w:p>
      <w:pPr>
        <w:pStyle w:val="3"/>
      </w:pPr>
      <w:bookmarkStart w:id="444" w:name="_Toc119835945"/>
      <w:bookmarkStart w:id="445" w:name="_Toc119856334"/>
      <w:bookmarkStart w:id="446" w:name="_Toc119843268"/>
      <w:bookmarkStart w:id="447" w:name="_Toc119856722"/>
      <w:bookmarkStart w:id="448" w:name="_Toc119849263"/>
      <w:bookmarkStart w:id="449" w:name="_Toc138889019"/>
      <w:r>
        <w:t>8.3增加投入，加大政策扶持</w:t>
      </w:r>
      <w:bookmarkEnd w:id="444"/>
      <w:bookmarkEnd w:id="445"/>
      <w:bookmarkEnd w:id="446"/>
      <w:bookmarkEnd w:id="447"/>
      <w:bookmarkEnd w:id="448"/>
      <w:bookmarkEnd w:id="449"/>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逐步加大对畜禽养殖污染防治工作的资金投入，加大对生态畜牧业建设的政策扶持，研究畜禽污染治理贷补贴政策，对有机肥产品生产、经营、沼液收集处理等畜禽养殖废弃物综合利用及无害化处置等建设项目享受税收优惠政策。优先制定和实施针对畜禽养殖废弃物减量化、沼气发电和有机肥生产使用等废弃物资源化利用、污染治理设施建设和运营等优惠和扶持措施。在土地使用等方面为养殖小区、沼气、有机肥建设项目提供政策扶植。鼓励畜禽养殖场户与高校、科研院所合作，通过技术研发和生产实践，创新畜禽养殖污染防治的新方法、新途径。</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推动畜禽养殖污染防治领域的运营模式创新，鼓励采用PPP等方式降低运营成本和市场风险，畅通社会资本进入的渠道。鼓励第三方处理机构和社会化服务组织，参与粪污治理。</w:t>
      </w:r>
    </w:p>
    <w:p>
      <w:pPr>
        <w:pStyle w:val="3"/>
      </w:pPr>
      <w:bookmarkStart w:id="450" w:name="_Toc119835946"/>
      <w:bookmarkStart w:id="451" w:name="_Toc119843269"/>
      <w:bookmarkStart w:id="452" w:name="_Toc138889020"/>
      <w:bookmarkStart w:id="453" w:name="_Toc119856335"/>
      <w:bookmarkStart w:id="454" w:name="_Toc119849264"/>
      <w:bookmarkStart w:id="455" w:name="_Toc119856723"/>
      <w:r>
        <w:t>8.4加强技术指导，引导养殖清洁化</w:t>
      </w:r>
      <w:bookmarkEnd w:id="450"/>
      <w:bookmarkEnd w:id="451"/>
      <w:bookmarkEnd w:id="452"/>
      <w:bookmarkEnd w:id="453"/>
      <w:bookmarkEnd w:id="454"/>
      <w:bookmarkEnd w:id="455"/>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加强畜禽规模养殖场建设指导。农业农村部门提供畜禽规模养殖场选址、良种选择与培育、标准化场区建设、饲养管理、废弃物资源化利用、种养结合等方面技术服务，做好畜牧业转型升级、稳产保供、畜禽养殖废弃物资源化利用等技术指导。</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全力做好畜禽粪污资源化利用技术指导与服务，农业农村部门或受委托的第三方培训机构应定期组织开展技术交流与人员培训，把畜禽粪污治理和资源化利用技术作为新型农民科技培训、农村劳动力转移培训和农民素质教育工程的重要内容，纳入相关农业技术或养殖技能培训当中，逐步提高从业人员的污染治理技术水平。</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充分发挥专家技术作用。生态环境局、农业农村局邀请省、市专家组深入养殖场，实地指导畜禽粪污资源化利用。</w:t>
      </w:r>
    </w:p>
    <w:p>
      <w:pPr>
        <w:pStyle w:val="3"/>
      </w:pPr>
      <w:bookmarkStart w:id="456" w:name="_Toc119856336"/>
      <w:bookmarkStart w:id="457" w:name="_Toc119849265"/>
      <w:bookmarkStart w:id="458" w:name="_Toc119843270"/>
      <w:bookmarkStart w:id="459" w:name="_Toc119835947"/>
      <w:bookmarkStart w:id="460" w:name="_Toc119856724"/>
      <w:bookmarkStart w:id="461" w:name="_Toc138889021"/>
      <w:r>
        <w:t>8.5加大宣传引导，营造治理氛围</w:t>
      </w:r>
      <w:bookmarkEnd w:id="456"/>
      <w:bookmarkEnd w:id="457"/>
      <w:bookmarkEnd w:id="458"/>
      <w:bookmarkEnd w:id="459"/>
      <w:bookmarkEnd w:id="460"/>
      <w:bookmarkEnd w:id="461"/>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通过广播、电视、网络、微信等不同媒介传播途径，开展畜禽养殖污染防治的舆论宣传，切实提高畜禽养殖场户和广大群众的生态环境保护意识。充分发挥行业协会、社会舆论的监督作用，及时通报各地畜禽养殖污染治理工作进展、亮点。鼓励村民自治组织和畜禽养殖协会制定相关规程，规范畜禽养殖行为，进一步提高广大养殖户和人民群众的责任意识和主人翁意识，形成群防群治畜禽养殖污染的良好氛围。鼓励公民、法人和其他组织积极参与和监督畜禽养殖污染防治工作。</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p>
    <w:p>
      <w:pPr>
        <w:pStyle w:val="2"/>
        <w:spacing w:before="0" w:after="0" w:line="560" w:lineRule="exact"/>
        <w:jc w:val="left"/>
        <w:rPr>
          <w:rFonts w:ascii="Times New Roman" w:hAnsi="Times New Roman" w:eastAsia="方正仿宋简体"/>
          <w:color w:val="000000" w:themeColor="text1"/>
          <w:sz w:val="32"/>
          <w:szCs w:val="32"/>
          <w14:textFill>
            <w14:solidFill>
              <w14:schemeClr w14:val="tx1"/>
            </w14:solidFill>
          </w14:textFill>
        </w:rPr>
        <w:sectPr>
          <w:pgSz w:w="11906" w:h="16838"/>
          <w:pgMar w:top="2098" w:right="1588" w:bottom="2098" w:left="1588" w:header="851" w:footer="992" w:gutter="0"/>
          <w:cols w:space="425" w:num="1"/>
          <w:docGrid w:type="lines" w:linePitch="312" w:charSpace="0"/>
        </w:sectPr>
      </w:pPr>
    </w:p>
    <w:p>
      <w:pPr>
        <w:pStyle w:val="2"/>
        <w:spacing w:before="0" w:after="0" w:line="560" w:lineRule="exact"/>
        <w:jc w:val="left"/>
        <w:rPr>
          <w:rFonts w:ascii="Times New Roman" w:hAnsi="Times New Roman" w:eastAsia="方正黑体简体"/>
          <w:b w:val="0"/>
          <w:color w:val="000000" w:themeColor="text1"/>
          <w:sz w:val="32"/>
          <w:szCs w:val="32"/>
          <w14:textFill>
            <w14:solidFill>
              <w14:schemeClr w14:val="tx1"/>
            </w14:solidFill>
          </w14:textFill>
        </w:rPr>
      </w:pPr>
      <w:bookmarkStart w:id="462" w:name="_Toc138889022"/>
      <w:r>
        <w:rPr>
          <w:rFonts w:ascii="Times New Roman" w:hAnsi="Times New Roman" w:eastAsia="方正黑体简体"/>
          <w:color w:val="000000" w:themeColor="text1"/>
          <w:sz w:val="32"/>
          <w:szCs w:val="32"/>
          <w14:textFill>
            <w14:solidFill>
              <w14:schemeClr w14:val="tx1"/>
            </w14:solidFill>
          </w14:textFill>
        </w:rPr>
        <w:t>9</w:t>
      </w:r>
      <w:r>
        <w:rPr>
          <w:rFonts w:ascii="Times New Roman" w:hAnsi="Times New Roman" w:eastAsia="方正黑体简体"/>
          <w:b w:val="0"/>
          <w:color w:val="000000" w:themeColor="text1"/>
          <w:sz w:val="32"/>
          <w:szCs w:val="32"/>
          <w14:textFill>
            <w14:solidFill>
              <w14:schemeClr w14:val="tx1"/>
            </w14:solidFill>
          </w14:textFill>
        </w:rPr>
        <w:t>附表及附图</w:t>
      </w:r>
      <w:bookmarkEnd w:id="462"/>
    </w:p>
    <w:p>
      <w:pPr>
        <w:pStyle w:val="3"/>
      </w:pPr>
      <w:bookmarkStart w:id="463" w:name="_Toc119835949"/>
      <w:bookmarkStart w:id="464" w:name="_Toc119849267"/>
      <w:bookmarkStart w:id="465" w:name="_Toc119856337"/>
      <w:bookmarkStart w:id="466" w:name="_Toc119856725"/>
      <w:bookmarkStart w:id="467" w:name="_Toc138889023"/>
      <w:bookmarkStart w:id="468" w:name="_Toc119843272"/>
      <w:r>
        <w:t>9.1附表</w:t>
      </w:r>
      <w:bookmarkEnd w:id="463"/>
      <w:bookmarkEnd w:id="464"/>
      <w:bookmarkEnd w:id="465"/>
      <w:bookmarkEnd w:id="466"/>
      <w:bookmarkEnd w:id="467"/>
      <w:bookmarkEnd w:id="468"/>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附表1：区域畜禽规模养殖场基本信息清单。</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附表2：畜禽养殖场粪污肥料化利用配套土地面积清单。</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附表3：规划期内拟整治畜禽养殖场清单。</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附表4：畜禽养殖污染防治重点工程支持主体和内容清单。</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附表5：行政区域内耕地、园地、林地、草地面积清单。</w:t>
      </w:r>
    </w:p>
    <w:p>
      <w:pPr>
        <w:pStyle w:val="3"/>
      </w:pPr>
      <w:bookmarkStart w:id="469" w:name="_Toc119856338"/>
      <w:bookmarkStart w:id="470" w:name="_Toc138889024"/>
      <w:bookmarkStart w:id="471" w:name="_Toc119849268"/>
      <w:bookmarkStart w:id="472" w:name="_Toc119843273"/>
      <w:bookmarkStart w:id="473" w:name="_Toc119856726"/>
      <w:bookmarkStart w:id="474" w:name="_Toc119835950"/>
      <w:r>
        <w:t>9.2附图</w:t>
      </w:r>
      <w:bookmarkEnd w:id="469"/>
      <w:bookmarkEnd w:id="470"/>
      <w:bookmarkEnd w:id="471"/>
      <w:bookmarkEnd w:id="472"/>
      <w:bookmarkEnd w:id="473"/>
      <w:bookmarkEnd w:id="474"/>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附图1：行政区划图。</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附图2：水功能区划图。</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附图3：畜禽规模养殖场分布图。</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附图4：禁养区分布图。</w:t>
      </w:r>
    </w:p>
    <w:p>
      <w:pPr>
        <w:spacing w:line="560" w:lineRule="exact"/>
        <w:ind w:firstLine="640" w:firstLineChars="200"/>
        <w:rPr>
          <w:rFonts w:ascii="Times New Roman" w:hAnsi="Times New Roman" w:eastAsia="方正仿宋简体"/>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t>附图5：耕地、园地、林地、草地分布图。</w:t>
      </w:r>
    </w:p>
    <w:p>
      <w:pPr>
        <w:spacing w:line="360" w:lineRule="auto"/>
        <w:ind w:firstLine="640" w:firstLineChars="200"/>
        <w:rPr>
          <w:rFonts w:ascii="Times New Roman" w:hAnsi="Times New Roman" w:eastAsia="方正仿宋简体"/>
          <w:color w:val="000000" w:themeColor="text1"/>
          <w:sz w:val="32"/>
          <w:szCs w:val="32"/>
          <w14:textFill>
            <w14:solidFill>
              <w14:schemeClr w14:val="tx1"/>
            </w14:solidFill>
          </w14:textFill>
        </w:rPr>
        <w:sectPr>
          <w:pgSz w:w="11906" w:h="16838"/>
          <w:pgMar w:top="2098" w:right="1797" w:bottom="2098" w:left="1588" w:header="851" w:footer="992" w:gutter="0"/>
          <w:cols w:space="425" w:num="1"/>
          <w:docGrid w:type="lines" w:linePitch="312" w:charSpace="0"/>
        </w:sectPr>
      </w:pPr>
    </w:p>
    <w:p>
      <w:pPr>
        <w:spacing w:line="360" w:lineRule="auto"/>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附表1  区域畜禽规模养殖场基本信息清单</w:t>
      </w:r>
    </w:p>
    <w:tbl>
      <w:tblPr>
        <w:tblStyle w:val="27"/>
        <w:tblW w:w="494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31"/>
        <w:gridCol w:w="2551"/>
        <w:gridCol w:w="1136"/>
        <w:gridCol w:w="1605"/>
        <w:gridCol w:w="657"/>
        <w:gridCol w:w="821"/>
        <w:gridCol w:w="883"/>
        <w:gridCol w:w="852"/>
        <w:gridCol w:w="852"/>
        <w:gridCol w:w="852"/>
        <w:gridCol w:w="883"/>
        <w:gridCol w:w="883"/>
        <w:gridCol w:w="1043"/>
        <w:gridCol w:w="867"/>
        <w:gridCol w:w="11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19" w:hRule="atLeast"/>
          <w:tblHeader/>
          <w:jc w:val="center"/>
        </w:trPr>
        <w:tc>
          <w:tcPr>
            <w:tcW w:w="140" w:type="pct"/>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序号</w:t>
            </w:r>
          </w:p>
        </w:tc>
        <w:tc>
          <w:tcPr>
            <w:tcW w:w="827" w:type="pct"/>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养殖场户名称</w:t>
            </w:r>
          </w:p>
        </w:tc>
        <w:tc>
          <w:tcPr>
            <w:tcW w:w="368" w:type="pct"/>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所在镇街</w:t>
            </w:r>
          </w:p>
        </w:tc>
        <w:tc>
          <w:tcPr>
            <w:tcW w:w="520" w:type="pct"/>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详细地址</w:t>
            </w:r>
          </w:p>
        </w:tc>
        <w:tc>
          <w:tcPr>
            <w:tcW w:w="213" w:type="pct"/>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建设时间</w:t>
            </w:r>
          </w:p>
        </w:tc>
        <w:tc>
          <w:tcPr>
            <w:tcW w:w="266" w:type="pct"/>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养殖畜种</w:t>
            </w:r>
          </w:p>
        </w:tc>
        <w:tc>
          <w:tcPr>
            <w:tcW w:w="286" w:type="pct"/>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建筑面积（m</w:t>
            </w:r>
            <w:r>
              <w:rPr>
                <w:rFonts w:ascii="Times New Roman" w:hAnsi="Times New Roman" w:eastAsia="方正仿宋简体"/>
                <w:b/>
                <w:bCs/>
                <w:color w:val="000000" w:themeColor="text1"/>
                <w:kern w:val="0"/>
                <w:szCs w:val="21"/>
                <w:vertAlign w:val="superscript"/>
                <w14:textFill>
                  <w14:solidFill>
                    <w14:schemeClr w14:val="tx1"/>
                  </w14:solidFill>
                </w14:textFill>
              </w:rPr>
              <w:t>2</w:t>
            </w:r>
            <w:r>
              <w:rPr>
                <w:rFonts w:ascii="Times New Roman" w:hAnsi="Times New Roman" w:eastAsia="方正仿宋简体"/>
                <w:b/>
                <w:bCs/>
                <w:color w:val="000000" w:themeColor="text1"/>
                <w:kern w:val="0"/>
                <w:szCs w:val="21"/>
                <w14:textFill>
                  <w14:solidFill>
                    <w14:schemeClr w14:val="tx1"/>
                  </w14:solidFill>
                </w14:textFill>
              </w:rPr>
              <w:t>）</w:t>
            </w:r>
          </w:p>
        </w:tc>
        <w:tc>
          <w:tcPr>
            <w:tcW w:w="276" w:type="pct"/>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设计养殖规模（头、只、羽）</w:t>
            </w:r>
          </w:p>
        </w:tc>
        <w:tc>
          <w:tcPr>
            <w:tcW w:w="276" w:type="pct"/>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存栏量（头、只、羽）</w:t>
            </w:r>
          </w:p>
        </w:tc>
        <w:tc>
          <w:tcPr>
            <w:tcW w:w="276" w:type="pct"/>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出栏量（头、只、羽）</w:t>
            </w:r>
          </w:p>
        </w:tc>
        <w:tc>
          <w:tcPr>
            <w:tcW w:w="286" w:type="pct"/>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堆粪场面积（m</w:t>
            </w:r>
            <w:r>
              <w:rPr>
                <w:rFonts w:ascii="Times New Roman" w:hAnsi="Times New Roman" w:eastAsia="方正仿宋简体"/>
                <w:b/>
                <w:bCs/>
                <w:color w:val="000000" w:themeColor="text1"/>
                <w:kern w:val="0"/>
                <w:szCs w:val="21"/>
                <w:vertAlign w:val="superscript"/>
                <w14:textFill>
                  <w14:solidFill>
                    <w14:schemeClr w14:val="tx1"/>
                  </w14:solidFill>
                </w14:textFill>
              </w:rPr>
              <w:t>2</w:t>
            </w:r>
            <w:r>
              <w:rPr>
                <w:rFonts w:ascii="Times New Roman" w:hAnsi="Times New Roman" w:eastAsia="方正仿宋简体"/>
                <w:b/>
                <w:bCs/>
                <w:color w:val="000000" w:themeColor="text1"/>
                <w:kern w:val="0"/>
                <w:szCs w:val="21"/>
                <w14:textFill>
                  <w14:solidFill>
                    <w14:schemeClr w14:val="tx1"/>
                  </w14:solidFill>
                </w14:textFill>
              </w:rPr>
              <w:t>）</w:t>
            </w:r>
          </w:p>
        </w:tc>
        <w:tc>
          <w:tcPr>
            <w:tcW w:w="286" w:type="pct"/>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污水存储池体积（m</w:t>
            </w:r>
            <w:r>
              <w:rPr>
                <w:rFonts w:ascii="Times New Roman" w:hAnsi="Times New Roman" w:eastAsia="方正仿宋简体"/>
                <w:b/>
                <w:bCs/>
                <w:color w:val="000000" w:themeColor="text1"/>
                <w:kern w:val="0"/>
                <w:szCs w:val="21"/>
                <w:vertAlign w:val="superscript"/>
                <w14:textFill>
                  <w14:solidFill>
                    <w14:schemeClr w14:val="tx1"/>
                  </w14:solidFill>
                </w14:textFill>
              </w:rPr>
              <w:t>3</w:t>
            </w:r>
            <w:r>
              <w:rPr>
                <w:rFonts w:ascii="Times New Roman" w:hAnsi="Times New Roman" w:eastAsia="方正仿宋简体"/>
                <w:b/>
                <w:bCs/>
                <w:color w:val="000000" w:themeColor="text1"/>
                <w:kern w:val="0"/>
                <w:szCs w:val="21"/>
                <w14:textFill>
                  <w14:solidFill>
                    <w14:schemeClr w14:val="tx1"/>
                  </w14:solidFill>
                </w14:textFill>
              </w:rPr>
              <w:t>）</w:t>
            </w:r>
          </w:p>
        </w:tc>
        <w:tc>
          <w:tcPr>
            <w:tcW w:w="338" w:type="pct"/>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是否建有无害化处理设施</w:t>
            </w:r>
          </w:p>
        </w:tc>
        <w:tc>
          <w:tcPr>
            <w:tcW w:w="281" w:type="pct"/>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粪便利用方式</w:t>
            </w:r>
          </w:p>
        </w:tc>
        <w:tc>
          <w:tcPr>
            <w:tcW w:w="360" w:type="pct"/>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污水利用方式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40"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1</w:t>
            </w:r>
          </w:p>
        </w:tc>
        <w:tc>
          <w:tcPr>
            <w:tcW w:w="827"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山东济宁南阳湖农场种猪场</w:t>
            </w:r>
          </w:p>
        </w:tc>
        <w:tc>
          <w:tcPr>
            <w:tcW w:w="368"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石桥镇</w:t>
            </w:r>
          </w:p>
        </w:tc>
        <w:tc>
          <w:tcPr>
            <w:tcW w:w="520"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济宁太白湖新区石桥镇南阳湖农场</w:t>
            </w:r>
          </w:p>
        </w:tc>
        <w:tc>
          <w:tcPr>
            <w:tcW w:w="213"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2014</w:t>
            </w:r>
          </w:p>
        </w:tc>
        <w:tc>
          <w:tcPr>
            <w:tcW w:w="266"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种猪</w:t>
            </w:r>
          </w:p>
        </w:tc>
        <w:tc>
          <w:tcPr>
            <w:tcW w:w="286" w:type="pct"/>
            <w:shd w:val="clear" w:color="auto" w:fill="auto"/>
            <w:noWrap/>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13080</w:t>
            </w:r>
          </w:p>
        </w:tc>
        <w:tc>
          <w:tcPr>
            <w:tcW w:w="276"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3620</w:t>
            </w:r>
          </w:p>
        </w:tc>
        <w:tc>
          <w:tcPr>
            <w:tcW w:w="27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3620</w:t>
            </w:r>
          </w:p>
        </w:tc>
        <w:tc>
          <w:tcPr>
            <w:tcW w:w="27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12000</w:t>
            </w:r>
          </w:p>
        </w:tc>
        <w:tc>
          <w:tcPr>
            <w:tcW w:w="28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150</w:t>
            </w:r>
          </w:p>
        </w:tc>
        <w:tc>
          <w:tcPr>
            <w:tcW w:w="28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800</w:t>
            </w:r>
          </w:p>
        </w:tc>
        <w:tc>
          <w:tcPr>
            <w:tcW w:w="338"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有</w:t>
            </w:r>
          </w:p>
        </w:tc>
        <w:tc>
          <w:tcPr>
            <w:tcW w:w="281"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厌氧发酵</w:t>
            </w:r>
          </w:p>
        </w:tc>
        <w:tc>
          <w:tcPr>
            <w:tcW w:w="360"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生产沼气</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40"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2</w:t>
            </w:r>
          </w:p>
        </w:tc>
        <w:tc>
          <w:tcPr>
            <w:tcW w:w="827"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山东济宁南阳湖畜牧养殖有限公司</w:t>
            </w:r>
          </w:p>
        </w:tc>
        <w:tc>
          <w:tcPr>
            <w:tcW w:w="368"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石桥镇</w:t>
            </w:r>
          </w:p>
        </w:tc>
        <w:tc>
          <w:tcPr>
            <w:tcW w:w="520"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济宁太白湖新区石桥镇南阳湖农场</w:t>
            </w:r>
          </w:p>
        </w:tc>
        <w:tc>
          <w:tcPr>
            <w:tcW w:w="213"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2016</w:t>
            </w:r>
          </w:p>
        </w:tc>
        <w:tc>
          <w:tcPr>
            <w:tcW w:w="266"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生猪</w:t>
            </w:r>
          </w:p>
        </w:tc>
        <w:tc>
          <w:tcPr>
            <w:tcW w:w="286" w:type="pct"/>
            <w:shd w:val="clear" w:color="auto" w:fill="auto"/>
            <w:noWrap/>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8000</w:t>
            </w:r>
          </w:p>
        </w:tc>
        <w:tc>
          <w:tcPr>
            <w:tcW w:w="276"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10000</w:t>
            </w:r>
          </w:p>
        </w:tc>
        <w:tc>
          <w:tcPr>
            <w:tcW w:w="27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3200</w:t>
            </w:r>
          </w:p>
        </w:tc>
        <w:tc>
          <w:tcPr>
            <w:tcW w:w="27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10000</w:t>
            </w:r>
          </w:p>
        </w:tc>
        <w:tc>
          <w:tcPr>
            <w:tcW w:w="28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200</w:t>
            </w:r>
          </w:p>
        </w:tc>
        <w:tc>
          <w:tcPr>
            <w:tcW w:w="28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800</w:t>
            </w:r>
          </w:p>
        </w:tc>
        <w:tc>
          <w:tcPr>
            <w:tcW w:w="338"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有</w:t>
            </w:r>
          </w:p>
        </w:tc>
        <w:tc>
          <w:tcPr>
            <w:tcW w:w="281"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厌氧发酵</w:t>
            </w:r>
          </w:p>
        </w:tc>
        <w:tc>
          <w:tcPr>
            <w:tcW w:w="360"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生产沼气</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40"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w:t>
            </w:r>
          </w:p>
        </w:tc>
        <w:tc>
          <w:tcPr>
            <w:tcW w:w="827"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山东济宁南阳湖农场农业观光园</w:t>
            </w:r>
          </w:p>
        </w:tc>
        <w:tc>
          <w:tcPr>
            <w:tcW w:w="368"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石桥镇</w:t>
            </w:r>
          </w:p>
        </w:tc>
        <w:tc>
          <w:tcPr>
            <w:tcW w:w="520"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济宁太白湖新区石桥镇南阳湖农场</w:t>
            </w:r>
          </w:p>
        </w:tc>
        <w:tc>
          <w:tcPr>
            <w:tcW w:w="213"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2011</w:t>
            </w:r>
          </w:p>
        </w:tc>
        <w:tc>
          <w:tcPr>
            <w:tcW w:w="266"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蛋鸡</w:t>
            </w:r>
          </w:p>
        </w:tc>
        <w:tc>
          <w:tcPr>
            <w:tcW w:w="286" w:type="pct"/>
            <w:shd w:val="clear" w:color="auto" w:fill="auto"/>
            <w:noWrap/>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4800</w:t>
            </w:r>
          </w:p>
        </w:tc>
        <w:tc>
          <w:tcPr>
            <w:tcW w:w="276"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4800</w:t>
            </w:r>
          </w:p>
        </w:tc>
        <w:tc>
          <w:tcPr>
            <w:tcW w:w="27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4800</w:t>
            </w:r>
          </w:p>
        </w:tc>
        <w:tc>
          <w:tcPr>
            <w:tcW w:w="27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4800</w:t>
            </w:r>
          </w:p>
        </w:tc>
        <w:tc>
          <w:tcPr>
            <w:tcW w:w="28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20</w:t>
            </w:r>
          </w:p>
        </w:tc>
        <w:tc>
          <w:tcPr>
            <w:tcW w:w="28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20</w:t>
            </w:r>
          </w:p>
        </w:tc>
        <w:tc>
          <w:tcPr>
            <w:tcW w:w="338"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有</w:t>
            </w:r>
          </w:p>
        </w:tc>
        <w:tc>
          <w:tcPr>
            <w:tcW w:w="281"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堆肥</w:t>
            </w:r>
          </w:p>
        </w:tc>
        <w:tc>
          <w:tcPr>
            <w:tcW w:w="360"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肥水利用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140"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4</w:t>
            </w:r>
          </w:p>
        </w:tc>
        <w:tc>
          <w:tcPr>
            <w:tcW w:w="827"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济宁山海天养殖场</w:t>
            </w:r>
          </w:p>
        </w:tc>
        <w:tc>
          <w:tcPr>
            <w:tcW w:w="368"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石桥镇</w:t>
            </w:r>
          </w:p>
        </w:tc>
        <w:tc>
          <w:tcPr>
            <w:tcW w:w="520"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济宁太白湖新区石桥镇李二村</w:t>
            </w:r>
          </w:p>
        </w:tc>
        <w:tc>
          <w:tcPr>
            <w:tcW w:w="213"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2013</w:t>
            </w:r>
          </w:p>
        </w:tc>
        <w:tc>
          <w:tcPr>
            <w:tcW w:w="266"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生猪</w:t>
            </w:r>
          </w:p>
        </w:tc>
        <w:tc>
          <w:tcPr>
            <w:tcW w:w="286" w:type="pct"/>
            <w:shd w:val="clear" w:color="auto" w:fill="auto"/>
            <w:noWrap/>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8000</w:t>
            </w:r>
          </w:p>
        </w:tc>
        <w:tc>
          <w:tcPr>
            <w:tcW w:w="276"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3000</w:t>
            </w:r>
          </w:p>
        </w:tc>
        <w:tc>
          <w:tcPr>
            <w:tcW w:w="27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3000</w:t>
            </w:r>
          </w:p>
        </w:tc>
        <w:tc>
          <w:tcPr>
            <w:tcW w:w="27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6000</w:t>
            </w:r>
          </w:p>
        </w:tc>
        <w:tc>
          <w:tcPr>
            <w:tcW w:w="28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300</w:t>
            </w:r>
          </w:p>
        </w:tc>
        <w:tc>
          <w:tcPr>
            <w:tcW w:w="28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500</w:t>
            </w:r>
          </w:p>
        </w:tc>
        <w:tc>
          <w:tcPr>
            <w:tcW w:w="338"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有</w:t>
            </w:r>
          </w:p>
        </w:tc>
        <w:tc>
          <w:tcPr>
            <w:tcW w:w="281"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厌氧发酵</w:t>
            </w:r>
          </w:p>
        </w:tc>
        <w:tc>
          <w:tcPr>
            <w:tcW w:w="360"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生产沼气</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40"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5</w:t>
            </w:r>
          </w:p>
        </w:tc>
        <w:tc>
          <w:tcPr>
            <w:tcW w:w="827"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济宁三强农牧科技有限公司</w:t>
            </w:r>
          </w:p>
        </w:tc>
        <w:tc>
          <w:tcPr>
            <w:tcW w:w="368"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石桥镇</w:t>
            </w:r>
          </w:p>
        </w:tc>
        <w:tc>
          <w:tcPr>
            <w:tcW w:w="520"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济宁北湖省级旅游度假区石桥镇运煤路西001号</w:t>
            </w:r>
          </w:p>
        </w:tc>
        <w:tc>
          <w:tcPr>
            <w:tcW w:w="213"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2020</w:t>
            </w:r>
          </w:p>
        </w:tc>
        <w:tc>
          <w:tcPr>
            <w:tcW w:w="266"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奶牛</w:t>
            </w:r>
          </w:p>
        </w:tc>
        <w:tc>
          <w:tcPr>
            <w:tcW w:w="286" w:type="pct"/>
            <w:shd w:val="clear" w:color="auto" w:fill="auto"/>
            <w:noWrap/>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140344</w:t>
            </w:r>
          </w:p>
        </w:tc>
        <w:tc>
          <w:tcPr>
            <w:tcW w:w="276"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3000</w:t>
            </w:r>
          </w:p>
        </w:tc>
        <w:tc>
          <w:tcPr>
            <w:tcW w:w="27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3000</w:t>
            </w:r>
          </w:p>
        </w:tc>
        <w:tc>
          <w:tcPr>
            <w:tcW w:w="27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660</w:t>
            </w:r>
          </w:p>
        </w:tc>
        <w:tc>
          <w:tcPr>
            <w:tcW w:w="28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7800</w:t>
            </w:r>
          </w:p>
        </w:tc>
        <w:tc>
          <w:tcPr>
            <w:tcW w:w="28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3000</w:t>
            </w:r>
          </w:p>
        </w:tc>
        <w:tc>
          <w:tcPr>
            <w:tcW w:w="338"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有</w:t>
            </w:r>
          </w:p>
        </w:tc>
        <w:tc>
          <w:tcPr>
            <w:tcW w:w="281"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厌氧发酵</w:t>
            </w:r>
          </w:p>
        </w:tc>
        <w:tc>
          <w:tcPr>
            <w:tcW w:w="360"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生产沼气</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40"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6</w:t>
            </w:r>
          </w:p>
        </w:tc>
        <w:tc>
          <w:tcPr>
            <w:tcW w:w="827"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曹修强养猪场</w:t>
            </w:r>
          </w:p>
        </w:tc>
        <w:tc>
          <w:tcPr>
            <w:tcW w:w="368" w:type="pct"/>
            <w:vAlign w:val="center"/>
          </w:tcPr>
          <w:p>
            <w:pPr>
              <w:rPr>
                <w:rFonts w:ascii="Times New Roman" w:hAnsi="Times New Roman" w:eastAsia="方正仿宋简体"/>
                <w:color w:val="000000"/>
                <w:szCs w:val="21"/>
              </w:rPr>
            </w:pPr>
            <w:r>
              <w:rPr>
                <w:rFonts w:ascii="Times New Roman" w:hAnsi="Times New Roman" w:eastAsia="方正仿宋简体"/>
                <w:color w:val="000000"/>
                <w:szCs w:val="21"/>
              </w:rPr>
              <w:t>石桥镇</w:t>
            </w:r>
          </w:p>
        </w:tc>
        <w:tc>
          <w:tcPr>
            <w:tcW w:w="520"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新闸村</w:t>
            </w:r>
          </w:p>
        </w:tc>
        <w:tc>
          <w:tcPr>
            <w:tcW w:w="213"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2014</w:t>
            </w:r>
          </w:p>
        </w:tc>
        <w:tc>
          <w:tcPr>
            <w:tcW w:w="266"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猪</w:t>
            </w:r>
          </w:p>
        </w:tc>
        <w:tc>
          <w:tcPr>
            <w:tcW w:w="286" w:type="pct"/>
            <w:shd w:val="clear" w:color="auto" w:fill="auto"/>
            <w:noWrap/>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2000</w:t>
            </w:r>
          </w:p>
        </w:tc>
        <w:tc>
          <w:tcPr>
            <w:tcW w:w="276"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250</w:t>
            </w:r>
          </w:p>
        </w:tc>
        <w:tc>
          <w:tcPr>
            <w:tcW w:w="27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250</w:t>
            </w:r>
          </w:p>
        </w:tc>
        <w:tc>
          <w:tcPr>
            <w:tcW w:w="27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500</w:t>
            </w:r>
          </w:p>
        </w:tc>
        <w:tc>
          <w:tcPr>
            <w:tcW w:w="28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60</w:t>
            </w:r>
          </w:p>
        </w:tc>
        <w:tc>
          <w:tcPr>
            <w:tcW w:w="28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150</w:t>
            </w:r>
          </w:p>
        </w:tc>
        <w:tc>
          <w:tcPr>
            <w:tcW w:w="338"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有</w:t>
            </w:r>
          </w:p>
        </w:tc>
        <w:tc>
          <w:tcPr>
            <w:tcW w:w="281"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堆肥</w:t>
            </w:r>
          </w:p>
        </w:tc>
        <w:tc>
          <w:tcPr>
            <w:tcW w:w="360"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肥水利用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40"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7</w:t>
            </w:r>
          </w:p>
        </w:tc>
        <w:tc>
          <w:tcPr>
            <w:tcW w:w="827"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李贤颂养猪场</w:t>
            </w:r>
          </w:p>
        </w:tc>
        <w:tc>
          <w:tcPr>
            <w:tcW w:w="368" w:type="pct"/>
            <w:vAlign w:val="center"/>
          </w:tcPr>
          <w:p>
            <w:pPr>
              <w:rPr>
                <w:rFonts w:ascii="Times New Roman" w:hAnsi="Times New Roman" w:eastAsia="方正仿宋简体"/>
                <w:color w:val="000000"/>
                <w:szCs w:val="21"/>
              </w:rPr>
            </w:pPr>
            <w:r>
              <w:rPr>
                <w:rFonts w:ascii="Times New Roman" w:hAnsi="Times New Roman" w:eastAsia="方正仿宋简体"/>
                <w:color w:val="000000"/>
                <w:szCs w:val="21"/>
              </w:rPr>
              <w:t>石桥镇</w:t>
            </w:r>
          </w:p>
        </w:tc>
        <w:tc>
          <w:tcPr>
            <w:tcW w:w="520"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北一村</w:t>
            </w:r>
          </w:p>
        </w:tc>
        <w:tc>
          <w:tcPr>
            <w:tcW w:w="213"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2015</w:t>
            </w:r>
          </w:p>
        </w:tc>
        <w:tc>
          <w:tcPr>
            <w:tcW w:w="266"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猪</w:t>
            </w:r>
          </w:p>
        </w:tc>
        <w:tc>
          <w:tcPr>
            <w:tcW w:w="286" w:type="pct"/>
            <w:shd w:val="clear" w:color="auto" w:fill="auto"/>
            <w:noWrap/>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3000</w:t>
            </w:r>
          </w:p>
        </w:tc>
        <w:tc>
          <w:tcPr>
            <w:tcW w:w="276"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480</w:t>
            </w:r>
          </w:p>
        </w:tc>
        <w:tc>
          <w:tcPr>
            <w:tcW w:w="27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480</w:t>
            </w:r>
          </w:p>
        </w:tc>
        <w:tc>
          <w:tcPr>
            <w:tcW w:w="27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960</w:t>
            </w:r>
          </w:p>
        </w:tc>
        <w:tc>
          <w:tcPr>
            <w:tcW w:w="28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120</w:t>
            </w:r>
          </w:p>
        </w:tc>
        <w:tc>
          <w:tcPr>
            <w:tcW w:w="28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320</w:t>
            </w:r>
          </w:p>
        </w:tc>
        <w:tc>
          <w:tcPr>
            <w:tcW w:w="338"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有</w:t>
            </w:r>
          </w:p>
        </w:tc>
        <w:tc>
          <w:tcPr>
            <w:tcW w:w="281"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堆肥</w:t>
            </w:r>
          </w:p>
        </w:tc>
        <w:tc>
          <w:tcPr>
            <w:tcW w:w="360"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肥水利用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40"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8</w:t>
            </w:r>
          </w:p>
        </w:tc>
        <w:tc>
          <w:tcPr>
            <w:tcW w:w="827"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黄勇养猪场</w:t>
            </w:r>
          </w:p>
        </w:tc>
        <w:tc>
          <w:tcPr>
            <w:tcW w:w="368" w:type="pct"/>
            <w:vAlign w:val="center"/>
          </w:tcPr>
          <w:p>
            <w:pPr>
              <w:rPr>
                <w:rFonts w:ascii="Times New Roman" w:hAnsi="Times New Roman" w:eastAsia="方正仿宋简体"/>
                <w:color w:val="000000"/>
                <w:szCs w:val="21"/>
              </w:rPr>
            </w:pPr>
            <w:r>
              <w:rPr>
                <w:rFonts w:ascii="Times New Roman" w:hAnsi="Times New Roman" w:eastAsia="方正仿宋简体"/>
                <w:color w:val="000000"/>
                <w:szCs w:val="21"/>
              </w:rPr>
              <w:t>石桥镇</w:t>
            </w:r>
          </w:p>
        </w:tc>
        <w:tc>
          <w:tcPr>
            <w:tcW w:w="520"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刘营村</w:t>
            </w:r>
          </w:p>
        </w:tc>
        <w:tc>
          <w:tcPr>
            <w:tcW w:w="213"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2016</w:t>
            </w:r>
          </w:p>
        </w:tc>
        <w:tc>
          <w:tcPr>
            <w:tcW w:w="266"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猪</w:t>
            </w:r>
          </w:p>
        </w:tc>
        <w:tc>
          <w:tcPr>
            <w:tcW w:w="286" w:type="pct"/>
            <w:shd w:val="clear" w:color="auto" w:fill="auto"/>
            <w:noWrap/>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2600</w:t>
            </w:r>
          </w:p>
        </w:tc>
        <w:tc>
          <w:tcPr>
            <w:tcW w:w="276"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300</w:t>
            </w:r>
          </w:p>
        </w:tc>
        <w:tc>
          <w:tcPr>
            <w:tcW w:w="27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300</w:t>
            </w:r>
          </w:p>
        </w:tc>
        <w:tc>
          <w:tcPr>
            <w:tcW w:w="27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600</w:t>
            </w:r>
          </w:p>
        </w:tc>
        <w:tc>
          <w:tcPr>
            <w:tcW w:w="28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72</w:t>
            </w:r>
          </w:p>
        </w:tc>
        <w:tc>
          <w:tcPr>
            <w:tcW w:w="286" w:type="pct"/>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180</w:t>
            </w:r>
          </w:p>
        </w:tc>
        <w:tc>
          <w:tcPr>
            <w:tcW w:w="338"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有</w:t>
            </w:r>
          </w:p>
        </w:tc>
        <w:tc>
          <w:tcPr>
            <w:tcW w:w="281"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堆肥</w:t>
            </w:r>
          </w:p>
        </w:tc>
        <w:tc>
          <w:tcPr>
            <w:tcW w:w="360" w:type="pct"/>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肥水利用</w:t>
            </w:r>
          </w:p>
        </w:tc>
      </w:tr>
    </w:tbl>
    <w:p>
      <w:pPr>
        <w:spacing w:line="360" w:lineRule="auto"/>
        <w:jc w:val="center"/>
        <w:rPr>
          <w:rFonts w:ascii="Times New Roman" w:hAnsi="Times New Roman" w:eastAsia="方正仿宋简体"/>
          <w:color w:val="000000" w:themeColor="text1"/>
          <w:sz w:val="32"/>
          <w:szCs w:val="32"/>
          <w14:textFill>
            <w14:solidFill>
              <w14:schemeClr w14:val="tx1"/>
            </w14:solidFill>
          </w14:textFill>
        </w:rPr>
        <w:sectPr>
          <w:headerReference r:id="rId9" w:type="default"/>
          <w:footerReference r:id="rId10" w:type="default"/>
          <w:pgSz w:w="16838" w:h="11906" w:orient="landscape"/>
          <w:pgMar w:top="720" w:right="720" w:bottom="720" w:left="720" w:header="851" w:footer="992" w:gutter="0"/>
          <w:cols w:space="425" w:num="1"/>
          <w:docGrid w:type="lines" w:linePitch="312" w:charSpace="0"/>
        </w:sectPr>
      </w:pPr>
    </w:p>
    <w:p>
      <w:pPr>
        <w:spacing w:line="360" w:lineRule="auto"/>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附表2  畜禽养殖场粪污肥料化利用配套土地面积清单</w:t>
      </w:r>
    </w:p>
    <w:tbl>
      <w:tblPr>
        <w:tblStyle w:val="27"/>
        <w:tblW w:w="4437" w:type="pct"/>
        <w:jc w:val="center"/>
        <w:tblLayout w:type="autofit"/>
        <w:tblCellMar>
          <w:top w:w="0" w:type="dxa"/>
          <w:left w:w="108" w:type="dxa"/>
          <w:bottom w:w="0" w:type="dxa"/>
          <w:right w:w="108" w:type="dxa"/>
        </w:tblCellMar>
      </w:tblPr>
      <w:tblGrid>
        <w:gridCol w:w="994"/>
        <w:gridCol w:w="3378"/>
        <w:gridCol w:w="1577"/>
        <w:gridCol w:w="2536"/>
        <w:gridCol w:w="745"/>
        <w:gridCol w:w="1278"/>
        <w:gridCol w:w="1278"/>
        <w:gridCol w:w="989"/>
        <w:gridCol w:w="1081"/>
      </w:tblGrid>
      <w:tr>
        <w:tblPrEx>
          <w:tblCellMar>
            <w:top w:w="0" w:type="dxa"/>
            <w:left w:w="108" w:type="dxa"/>
            <w:bottom w:w="0" w:type="dxa"/>
            <w:right w:w="108" w:type="dxa"/>
          </w:tblCellMar>
        </w:tblPrEx>
        <w:trPr>
          <w:trHeight w:val="1019" w:hRule="atLeast"/>
          <w:tblHeader/>
          <w:jc w:val="center"/>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序号</w:t>
            </w:r>
          </w:p>
        </w:tc>
        <w:tc>
          <w:tcPr>
            <w:tcW w:w="12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养殖场户名称</w:t>
            </w:r>
          </w:p>
        </w:tc>
        <w:tc>
          <w:tcPr>
            <w:tcW w:w="569"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所在镇街</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详细地址</w:t>
            </w:r>
          </w:p>
        </w:tc>
        <w:tc>
          <w:tcPr>
            <w:tcW w:w="26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养殖畜种</w:t>
            </w:r>
          </w:p>
        </w:tc>
        <w:tc>
          <w:tcPr>
            <w:tcW w:w="461"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设计养殖规模（头、只、羽）</w:t>
            </w: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配套耕地面积（亩）</w:t>
            </w: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粪便利用方式</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污水处置方式</w:t>
            </w:r>
          </w:p>
        </w:tc>
      </w:tr>
      <w:tr>
        <w:tblPrEx>
          <w:tblCellMar>
            <w:top w:w="0" w:type="dxa"/>
            <w:left w:w="108" w:type="dxa"/>
            <w:bottom w:w="0" w:type="dxa"/>
            <w:right w:w="108" w:type="dxa"/>
          </w:tblCellMar>
        </w:tblPrEx>
        <w:trPr>
          <w:trHeight w:val="540" w:hRule="atLeast"/>
          <w:jc w:val="center"/>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1</w:t>
            </w:r>
          </w:p>
        </w:tc>
        <w:tc>
          <w:tcPr>
            <w:tcW w:w="12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山东济宁南阳湖农场种猪场</w:t>
            </w:r>
          </w:p>
        </w:tc>
        <w:tc>
          <w:tcPr>
            <w:tcW w:w="569"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石桥镇</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济宁太白湖新区石桥镇南阳湖农场</w:t>
            </w:r>
          </w:p>
        </w:tc>
        <w:tc>
          <w:tcPr>
            <w:tcW w:w="26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种猪</w:t>
            </w: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3620</w:t>
            </w: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560</w:t>
            </w: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厌氧发酵</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生产沼气</w:t>
            </w:r>
          </w:p>
        </w:tc>
      </w:tr>
      <w:tr>
        <w:tblPrEx>
          <w:tblCellMar>
            <w:top w:w="0" w:type="dxa"/>
            <w:left w:w="108" w:type="dxa"/>
            <w:bottom w:w="0" w:type="dxa"/>
            <w:right w:w="108" w:type="dxa"/>
          </w:tblCellMar>
        </w:tblPrEx>
        <w:trPr>
          <w:trHeight w:val="540" w:hRule="atLeast"/>
          <w:jc w:val="center"/>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2</w:t>
            </w:r>
          </w:p>
        </w:tc>
        <w:tc>
          <w:tcPr>
            <w:tcW w:w="12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山东济宁南阳湖畜牧养殖有限公司</w:t>
            </w:r>
          </w:p>
        </w:tc>
        <w:tc>
          <w:tcPr>
            <w:tcW w:w="5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szCs w:val="21"/>
              </w:rPr>
            </w:pPr>
            <w:r>
              <w:rPr>
                <w:rFonts w:ascii="Times New Roman" w:hAnsi="Times New Roman" w:eastAsia="方正仿宋简体"/>
                <w:color w:val="000000" w:themeColor="text1"/>
                <w:kern w:val="0"/>
                <w:szCs w:val="21"/>
                <w14:textFill>
                  <w14:solidFill>
                    <w14:schemeClr w14:val="tx1"/>
                  </w14:solidFill>
                </w14:textFill>
              </w:rPr>
              <w:t>石桥镇</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济宁太白湖新区石桥镇南阳湖农场</w:t>
            </w:r>
          </w:p>
        </w:tc>
        <w:tc>
          <w:tcPr>
            <w:tcW w:w="26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生猪</w:t>
            </w: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10000</w:t>
            </w: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660</w:t>
            </w: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厌氧发酵</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生产沼气</w:t>
            </w:r>
          </w:p>
        </w:tc>
      </w:tr>
      <w:tr>
        <w:tblPrEx>
          <w:tblCellMar>
            <w:top w:w="0" w:type="dxa"/>
            <w:left w:w="108" w:type="dxa"/>
            <w:bottom w:w="0" w:type="dxa"/>
            <w:right w:w="108" w:type="dxa"/>
          </w:tblCellMar>
        </w:tblPrEx>
        <w:trPr>
          <w:trHeight w:val="413" w:hRule="atLeast"/>
          <w:jc w:val="center"/>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3</w:t>
            </w:r>
          </w:p>
        </w:tc>
        <w:tc>
          <w:tcPr>
            <w:tcW w:w="12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山东济宁南阳湖农场农业观光园</w:t>
            </w:r>
          </w:p>
        </w:tc>
        <w:tc>
          <w:tcPr>
            <w:tcW w:w="5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szCs w:val="21"/>
              </w:rPr>
            </w:pPr>
            <w:r>
              <w:rPr>
                <w:rFonts w:ascii="Times New Roman" w:hAnsi="Times New Roman" w:eastAsia="方正仿宋简体"/>
                <w:color w:val="000000" w:themeColor="text1"/>
                <w:kern w:val="0"/>
                <w:szCs w:val="21"/>
                <w14:textFill>
                  <w14:solidFill>
                    <w14:schemeClr w14:val="tx1"/>
                  </w14:solidFill>
                </w14:textFill>
              </w:rPr>
              <w:t>石桥镇</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济宁太白湖新区石桥镇南阳湖农场</w:t>
            </w:r>
          </w:p>
        </w:tc>
        <w:tc>
          <w:tcPr>
            <w:tcW w:w="26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蛋鸡</w:t>
            </w: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4800</w:t>
            </w: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70</w:t>
            </w: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堆肥</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w:t>
            </w:r>
          </w:p>
        </w:tc>
      </w:tr>
      <w:tr>
        <w:tblPrEx>
          <w:tblCellMar>
            <w:top w:w="0" w:type="dxa"/>
            <w:left w:w="108" w:type="dxa"/>
            <w:bottom w:w="0" w:type="dxa"/>
            <w:right w:w="108" w:type="dxa"/>
          </w:tblCellMar>
        </w:tblPrEx>
        <w:trPr>
          <w:trHeight w:val="570" w:hRule="atLeast"/>
          <w:jc w:val="center"/>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4</w:t>
            </w:r>
          </w:p>
        </w:tc>
        <w:tc>
          <w:tcPr>
            <w:tcW w:w="12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济宁山海天养殖场</w:t>
            </w:r>
          </w:p>
        </w:tc>
        <w:tc>
          <w:tcPr>
            <w:tcW w:w="5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szCs w:val="21"/>
              </w:rPr>
            </w:pPr>
            <w:r>
              <w:rPr>
                <w:rFonts w:ascii="Times New Roman" w:hAnsi="Times New Roman" w:eastAsia="方正仿宋简体"/>
                <w:color w:val="000000" w:themeColor="text1"/>
                <w:kern w:val="0"/>
                <w:szCs w:val="21"/>
                <w14:textFill>
                  <w14:solidFill>
                    <w14:schemeClr w14:val="tx1"/>
                  </w14:solidFill>
                </w14:textFill>
              </w:rPr>
              <w:t>石桥镇</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济宁太白湖新区石桥镇李二村</w:t>
            </w:r>
          </w:p>
        </w:tc>
        <w:tc>
          <w:tcPr>
            <w:tcW w:w="26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生猪</w:t>
            </w: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3000</w:t>
            </w: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100</w:t>
            </w: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厌氧发酵</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生产沼气</w:t>
            </w:r>
          </w:p>
        </w:tc>
      </w:tr>
      <w:tr>
        <w:tblPrEx>
          <w:tblCellMar>
            <w:top w:w="0" w:type="dxa"/>
            <w:left w:w="108" w:type="dxa"/>
            <w:bottom w:w="0" w:type="dxa"/>
            <w:right w:w="108" w:type="dxa"/>
          </w:tblCellMar>
        </w:tblPrEx>
        <w:trPr>
          <w:trHeight w:val="540" w:hRule="atLeast"/>
          <w:jc w:val="center"/>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5</w:t>
            </w:r>
          </w:p>
        </w:tc>
        <w:tc>
          <w:tcPr>
            <w:tcW w:w="12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济宁三强农牧科技有限公司</w:t>
            </w:r>
          </w:p>
        </w:tc>
        <w:tc>
          <w:tcPr>
            <w:tcW w:w="5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szCs w:val="21"/>
              </w:rPr>
            </w:pPr>
            <w:r>
              <w:rPr>
                <w:rFonts w:ascii="Times New Roman" w:hAnsi="Times New Roman" w:eastAsia="方正仿宋简体"/>
                <w:color w:val="000000" w:themeColor="text1"/>
                <w:kern w:val="0"/>
                <w:szCs w:val="21"/>
                <w14:textFill>
                  <w14:solidFill>
                    <w14:schemeClr w14:val="tx1"/>
                  </w14:solidFill>
                </w14:textFill>
              </w:rPr>
              <w:t>石桥镇</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济宁北湖省级旅游度假区石桥镇运煤路西001号</w:t>
            </w:r>
          </w:p>
        </w:tc>
        <w:tc>
          <w:tcPr>
            <w:tcW w:w="26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奶牛</w:t>
            </w: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3000</w:t>
            </w: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13352.4</w:t>
            </w: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厌氧发酵</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生产沼气</w:t>
            </w:r>
          </w:p>
        </w:tc>
      </w:tr>
      <w:tr>
        <w:tblPrEx>
          <w:tblCellMar>
            <w:top w:w="0" w:type="dxa"/>
            <w:left w:w="108" w:type="dxa"/>
            <w:bottom w:w="0" w:type="dxa"/>
            <w:right w:w="108" w:type="dxa"/>
          </w:tblCellMar>
        </w:tblPrEx>
        <w:trPr>
          <w:trHeight w:val="540" w:hRule="atLeast"/>
          <w:jc w:val="center"/>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6</w:t>
            </w:r>
          </w:p>
        </w:tc>
        <w:tc>
          <w:tcPr>
            <w:tcW w:w="121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曹修强养猪场</w:t>
            </w:r>
          </w:p>
        </w:tc>
        <w:tc>
          <w:tcPr>
            <w:tcW w:w="5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石桥镇</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新闸村</w:t>
            </w:r>
          </w:p>
        </w:tc>
        <w:tc>
          <w:tcPr>
            <w:tcW w:w="26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生猪</w:t>
            </w: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250</w:t>
            </w: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30</w:t>
            </w: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堆肥</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肥水利用</w:t>
            </w:r>
          </w:p>
        </w:tc>
      </w:tr>
      <w:tr>
        <w:tblPrEx>
          <w:tblCellMar>
            <w:top w:w="0" w:type="dxa"/>
            <w:left w:w="108" w:type="dxa"/>
            <w:bottom w:w="0" w:type="dxa"/>
            <w:right w:w="108" w:type="dxa"/>
          </w:tblCellMar>
        </w:tblPrEx>
        <w:trPr>
          <w:trHeight w:val="540" w:hRule="atLeast"/>
          <w:jc w:val="center"/>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7</w:t>
            </w:r>
          </w:p>
        </w:tc>
        <w:tc>
          <w:tcPr>
            <w:tcW w:w="121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李贤颂养猪场</w:t>
            </w:r>
          </w:p>
        </w:tc>
        <w:tc>
          <w:tcPr>
            <w:tcW w:w="5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石桥镇</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北一村</w:t>
            </w:r>
          </w:p>
        </w:tc>
        <w:tc>
          <w:tcPr>
            <w:tcW w:w="26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生猪</w:t>
            </w: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480</w:t>
            </w: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40</w:t>
            </w: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堆肥</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肥水利用</w:t>
            </w:r>
          </w:p>
        </w:tc>
      </w:tr>
      <w:tr>
        <w:tblPrEx>
          <w:tblCellMar>
            <w:top w:w="0" w:type="dxa"/>
            <w:left w:w="108" w:type="dxa"/>
            <w:bottom w:w="0" w:type="dxa"/>
            <w:right w:w="108" w:type="dxa"/>
          </w:tblCellMar>
        </w:tblPrEx>
        <w:trPr>
          <w:trHeight w:val="540" w:hRule="atLeast"/>
          <w:jc w:val="center"/>
        </w:trPr>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8</w:t>
            </w:r>
          </w:p>
        </w:tc>
        <w:tc>
          <w:tcPr>
            <w:tcW w:w="121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黄勇养猪场</w:t>
            </w:r>
          </w:p>
        </w:tc>
        <w:tc>
          <w:tcPr>
            <w:tcW w:w="56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石桥镇</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刘营村</w:t>
            </w:r>
          </w:p>
        </w:tc>
        <w:tc>
          <w:tcPr>
            <w:tcW w:w="26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生猪</w:t>
            </w:r>
          </w:p>
        </w:tc>
        <w:tc>
          <w:tcPr>
            <w:tcW w:w="46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300</w:t>
            </w: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30</w:t>
            </w: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堆肥</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肥水利用</w:t>
            </w:r>
          </w:p>
        </w:tc>
      </w:tr>
    </w:tbl>
    <w:p>
      <w:pPr>
        <w:spacing w:line="360" w:lineRule="auto"/>
        <w:jc w:val="center"/>
        <w:rPr>
          <w:rFonts w:ascii="Times New Roman" w:hAnsi="Times New Roman" w:eastAsia="方正仿宋简体"/>
          <w:color w:val="000000" w:themeColor="text1"/>
          <w:sz w:val="32"/>
          <w:szCs w:val="32"/>
          <w14:textFill>
            <w14:solidFill>
              <w14:schemeClr w14:val="tx1"/>
            </w14:solidFill>
          </w14:textFill>
        </w:rPr>
        <w:sectPr>
          <w:pgSz w:w="16838" w:h="11906" w:orient="landscape"/>
          <w:pgMar w:top="720" w:right="720" w:bottom="720" w:left="720" w:header="851" w:footer="992" w:gutter="0"/>
          <w:cols w:space="425" w:num="1"/>
          <w:docGrid w:type="lines" w:linePitch="312" w:charSpace="0"/>
        </w:sectPr>
      </w:pPr>
    </w:p>
    <w:p>
      <w:pPr>
        <w:spacing w:line="360" w:lineRule="auto"/>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b/>
          <w:color w:val="000000" w:themeColor="text1"/>
          <w:sz w:val="32"/>
          <w:szCs w:val="32"/>
          <w14:textFill>
            <w14:solidFill>
              <w14:schemeClr w14:val="tx1"/>
            </w14:solidFill>
          </w14:textFill>
        </w:rPr>
        <w:t>附表3  规划期内拟整治畜禽养殖场清单</w:t>
      </w:r>
    </w:p>
    <w:tbl>
      <w:tblPr>
        <w:tblStyle w:val="27"/>
        <w:tblW w:w="4811" w:type="pct"/>
        <w:jc w:val="center"/>
        <w:tblLayout w:type="autofit"/>
        <w:tblCellMar>
          <w:top w:w="0" w:type="dxa"/>
          <w:left w:w="108" w:type="dxa"/>
          <w:bottom w:w="0" w:type="dxa"/>
          <w:right w:w="108" w:type="dxa"/>
        </w:tblCellMar>
      </w:tblPr>
      <w:tblGrid>
        <w:gridCol w:w="736"/>
        <w:gridCol w:w="2761"/>
        <w:gridCol w:w="1277"/>
        <w:gridCol w:w="1983"/>
        <w:gridCol w:w="1277"/>
        <w:gridCol w:w="1418"/>
        <w:gridCol w:w="1701"/>
        <w:gridCol w:w="3871"/>
      </w:tblGrid>
      <w:tr>
        <w:tblPrEx>
          <w:tblCellMar>
            <w:top w:w="0" w:type="dxa"/>
            <w:left w:w="108" w:type="dxa"/>
            <w:bottom w:w="0" w:type="dxa"/>
            <w:right w:w="108" w:type="dxa"/>
          </w:tblCellMar>
        </w:tblPrEx>
        <w:trPr>
          <w:trHeight w:val="831" w:hRule="atLeast"/>
          <w:tblHeader/>
          <w:jc w:val="center"/>
        </w:trPr>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序号</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养殖场户名称</w:t>
            </w:r>
          </w:p>
        </w:tc>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所在镇街</w:t>
            </w:r>
          </w:p>
        </w:tc>
        <w:tc>
          <w:tcPr>
            <w:tcW w:w="6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详细地址</w:t>
            </w:r>
          </w:p>
        </w:tc>
        <w:tc>
          <w:tcPr>
            <w:tcW w:w="42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养殖畜种</w:t>
            </w:r>
          </w:p>
        </w:tc>
        <w:tc>
          <w:tcPr>
            <w:tcW w:w="4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设计存栏量</w:t>
            </w:r>
          </w:p>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（头、只、羽）</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清粪方式</w:t>
            </w:r>
          </w:p>
        </w:tc>
        <w:tc>
          <w:tcPr>
            <w:tcW w:w="128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整治原因</w:t>
            </w:r>
          </w:p>
        </w:tc>
      </w:tr>
      <w:tr>
        <w:tblPrEx>
          <w:tblCellMar>
            <w:top w:w="0" w:type="dxa"/>
            <w:left w:w="108" w:type="dxa"/>
            <w:bottom w:w="0" w:type="dxa"/>
            <w:right w:w="108" w:type="dxa"/>
          </w:tblCellMar>
        </w:tblPrEx>
        <w:trPr>
          <w:trHeight w:val="540" w:hRule="atLeast"/>
          <w:jc w:val="center"/>
        </w:trPr>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1</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山东济宁南阳湖农场种猪场</w:t>
            </w:r>
          </w:p>
        </w:tc>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石桥镇</w:t>
            </w:r>
          </w:p>
        </w:tc>
        <w:tc>
          <w:tcPr>
            <w:tcW w:w="6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济宁太白湖新区石桥镇南阳湖农场</w:t>
            </w:r>
          </w:p>
        </w:tc>
        <w:tc>
          <w:tcPr>
            <w:tcW w:w="42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种猪</w:t>
            </w:r>
          </w:p>
        </w:tc>
        <w:tc>
          <w:tcPr>
            <w:tcW w:w="4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3620</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干清</w:t>
            </w:r>
          </w:p>
        </w:tc>
        <w:tc>
          <w:tcPr>
            <w:tcW w:w="1288" w:type="pct"/>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szCs w:val="21"/>
                <w14:textFill>
                  <w14:solidFill>
                    <w14:schemeClr w14:val="tx1"/>
                  </w14:solidFill>
                </w14:textFill>
              </w:rPr>
              <w:t>雨污分流不彻底；粪堆场面积较小，不能满足运行需求。</w:t>
            </w:r>
          </w:p>
        </w:tc>
      </w:tr>
      <w:tr>
        <w:tblPrEx>
          <w:tblCellMar>
            <w:top w:w="0" w:type="dxa"/>
            <w:left w:w="108" w:type="dxa"/>
            <w:bottom w:w="0" w:type="dxa"/>
            <w:right w:w="108" w:type="dxa"/>
          </w:tblCellMar>
        </w:tblPrEx>
        <w:trPr>
          <w:trHeight w:val="540" w:hRule="atLeast"/>
          <w:jc w:val="center"/>
        </w:trPr>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2</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山东济宁南阳湖畜牧养殖有限公司</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szCs w:val="21"/>
              </w:rPr>
            </w:pPr>
            <w:r>
              <w:rPr>
                <w:rFonts w:ascii="Times New Roman" w:hAnsi="Times New Roman" w:eastAsia="方正仿宋简体"/>
                <w:color w:val="000000" w:themeColor="text1"/>
                <w:kern w:val="0"/>
                <w:szCs w:val="21"/>
                <w14:textFill>
                  <w14:solidFill>
                    <w14:schemeClr w14:val="tx1"/>
                  </w14:solidFill>
                </w14:textFill>
              </w:rPr>
              <w:t>石桥镇</w:t>
            </w:r>
          </w:p>
        </w:tc>
        <w:tc>
          <w:tcPr>
            <w:tcW w:w="6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济宁太白湖新区石桥镇南阳湖农场</w:t>
            </w:r>
          </w:p>
        </w:tc>
        <w:tc>
          <w:tcPr>
            <w:tcW w:w="42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生猪</w:t>
            </w:r>
          </w:p>
        </w:tc>
        <w:tc>
          <w:tcPr>
            <w:tcW w:w="4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10000</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干清</w:t>
            </w:r>
          </w:p>
        </w:tc>
        <w:tc>
          <w:tcPr>
            <w:tcW w:w="1288" w:type="pct"/>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szCs w:val="21"/>
                <w14:textFill>
                  <w14:solidFill>
                    <w14:schemeClr w14:val="tx1"/>
                  </w14:solidFill>
                </w14:textFill>
              </w:rPr>
              <w:t>雨污分流不彻底；粪堆场面积较小，不能满足运行需求。</w:t>
            </w:r>
          </w:p>
        </w:tc>
      </w:tr>
      <w:tr>
        <w:tblPrEx>
          <w:tblCellMar>
            <w:top w:w="0" w:type="dxa"/>
            <w:left w:w="108" w:type="dxa"/>
            <w:bottom w:w="0" w:type="dxa"/>
            <w:right w:w="108" w:type="dxa"/>
          </w:tblCellMar>
        </w:tblPrEx>
        <w:trPr>
          <w:trHeight w:val="413" w:hRule="atLeast"/>
          <w:jc w:val="center"/>
        </w:trPr>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3</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山东济宁南阳湖农场农业观光园</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szCs w:val="21"/>
              </w:rPr>
            </w:pPr>
            <w:r>
              <w:rPr>
                <w:rFonts w:ascii="Times New Roman" w:hAnsi="Times New Roman" w:eastAsia="方正仿宋简体"/>
                <w:color w:val="000000" w:themeColor="text1"/>
                <w:kern w:val="0"/>
                <w:szCs w:val="21"/>
                <w14:textFill>
                  <w14:solidFill>
                    <w14:schemeClr w14:val="tx1"/>
                  </w14:solidFill>
                </w14:textFill>
              </w:rPr>
              <w:t>石桥镇</w:t>
            </w:r>
          </w:p>
        </w:tc>
        <w:tc>
          <w:tcPr>
            <w:tcW w:w="6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济宁太白湖新区石桥镇南阳湖农场</w:t>
            </w:r>
          </w:p>
        </w:tc>
        <w:tc>
          <w:tcPr>
            <w:tcW w:w="42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蛋鸡</w:t>
            </w:r>
          </w:p>
        </w:tc>
        <w:tc>
          <w:tcPr>
            <w:tcW w:w="4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4800</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干清</w:t>
            </w:r>
          </w:p>
        </w:tc>
        <w:tc>
          <w:tcPr>
            <w:tcW w:w="1288" w:type="pct"/>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szCs w:val="21"/>
                <w14:textFill>
                  <w14:solidFill>
                    <w14:schemeClr w14:val="tx1"/>
                  </w14:solidFill>
                </w14:textFill>
              </w:rPr>
              <w:t>雨污分流不彻底；粪堆场面积较小，不能满足运行需求。</w:t>
            </w:r>
          </w:p>
        </w:tc>
      </w:tr>
      <w:tr>
        <w:tblPrEx>
          <w:tblCellMar>
            <w:top w:w="0" w:type="dxa"/>
            <w:left w:w="108" w:type="dxa"/>
            <w:bottom w:w="0" w:type="dxa"/>
            <w:right w:w="108" w:type="dxa"/>
          </w:tblCellMar>
        </w:tblPrEx>
        <w:trPr>
          <w:trHeight w:val="570" w:hRule="atLeast"/>
          <w:jc w:val="center"/>
        </w:trPr>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4</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济宁山海天养殖场</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szCs w:val="21"/>
              </w:rPr>
            </w:pPr>
            <w:r>
              <w:rPr>
                <w:rFonts w:ascii="Times New Roman" w:hAnsi="Times New Roman" w:eastAsia="方正仿宋简体"/>
                <w:color w:val="000000" w:themeColor="text1"/>
                <w:kern w:val="0"/>
                <w:szCs w:val="21"/>
                <w14:textFill>
                  <w14:solidFill>
                    <w14:schemeClr w14:val="tx1"/>
                  </w14:solidFill>
                </w14:textFill>
              </w:rPr>
              <w:t>石桥镇</w:t>
            </w:r>
          </w:p>
        </w:tc>
        <w:tc>
          <w:tcPr>
            <w:tcW w:w="6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济宁太白湖新区石桥镇李二村</w:t>
            </w:r>
          </w:p>
        </w:tc>
        <w:tc>
          <w:tcPr>
            <w:tcW w:w="42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生猪</w:t>
            </w:r>
          </w:p>
        </w:tc>
        <w:tc>
          <w:tcPr>
            <w:tcW w:w="4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3000</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干清</w:t>
            </w:r>
          </w:p>
        </w:tc>
        <w:tc>
          <w:tcPr>
            <w:tcW w:w="1288" w:type="pct"/>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szCs w:val="21"/>
                <w14:textFill>
                  <w14:solidFill>
                    <w14:schemeClr w14:val="tx1"/>
                  </w14:solidFill>
                </w14:textFill>
              </w:rPr>
              <w:t>雨污分流不彻底；粪堆场面积较小，不能满足运行需求。</w:t>
            </w:r>
          </w:p>
        </w:tc>
      </w:tr>
      <w:tr>
        <w:tblPrEx>
          <w:tblCellMar>
            <w:top w:w="0" w:type="dxa"/>
            <w:left w:w="108" w:type="dxa"/>
            <w:bottom w:w="0" w:type="dxa"/>
            <w:right w:w="108" w:type="dxa"/>
          </w:tblCellMar>
        </w:tblPrEx>
        <w:trPr>
          <w:trHeight w:val="540" w:hRule="atLeast"/>
          <w:jc w:val="center"/>
        </w:trPr>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5</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济宁三强农牧科技有限公司</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szCs w:val="21"/>
              </w:rPr>
            </w:pPr>
            <w:r>
              <w:rPr>
                <w:rFonts w:ascii="Times New Roman" w:hAnsi="Times New Roman" w:eastAsia="方正仿宋简体"/>
                <w:color w:val="000000" w:themeColor="text1"/>
                <w:kern w:val="0"/>
                <w:szCs w:val="21"/>
                <w14:textFill>
                  <w14:solidFill>
                    <w14:schemeClr w14:val="tx1"/>
                  </w14:solidFill>
                </w14:textFill>
              </w:rPr>
              <w:t>石桥镇</w:t>
            </w:r>
          </w:p>
        </w:tc>
        <w:tc>
          <w:tcPr>
            <w:tcW w:w="6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济宁北湖省级旅游度假区石桥镇运煤路西001号</w:t>
            </w:r>
          </w:p>
        </w:tc>
        <w:tc>
          <w:tcPr>
            <w:tcW w:w="42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奶牛</w:t>
            </w:r>
          </w:p>
        </w:tc>
        <w:tc>
          <w:tcPr>
            <w:tcW w:w="4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3000</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干清</w:t>
            </w:r>
          </w:p>
        </w:tc>
        <w:tc>
          <w:tcPr>
            <w:tcW w:w="1288" w:type="pct"/>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szCs w:val="21"/>
                <w14:textFill>
                  <w14:solidFill>
                    <w14:schemeClr w14:val="tx1"/>
                  </w14:solidFill>
                </w14:textFill>
              </w:rPr>
              <w:t>雨污分流不彻底；粪堆场面积较小，不能满足运行需求。</w:t>
            </w:r>
          </w:p>
        </w:tc>
      </w:tr>
      <w:tr>
        <w:tblPrEx>
          <w:tblCellMar>
            <w:top w:w="0" w:type="dxa"/>
            <w:left w:w="108" w:type="dxa"/>
            <w:bottom w:w="0" w:type="dxa"/>
            <w:right w:w="108" w:type="dxa"/>
          </w:tblCellMar>
        </w:tblPrEx>
        <w:trPr>
          <w:trHeight w:val="540" w:hRule="atLeast"/>
          <w:jc w:val="center"/>
        </w:trPr>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6</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曹修强养猪场</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石桥镇</w:t>
            </w:r>
          </w:p>
        </w:tc>
        <w:tc>
          <w:tcPr>
            <w:tcW w:w="6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新闸村</w:t>
            </w:r>
          </w:p>
        </w:tc>
        <w:tc>
          <w:tcPr>
            <w:tcW w:w="42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生猪</w:t>
            </w:r>
          </w:p>
        </w:tc>
        <w:tc>
          <w:tcPr>
            <w:tcW w:w="4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250</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干清、水冲</w:t>
            </w:r>
          </w:p>
        </w:tc>
        <w:tc>
          <w:tcPr>
            <w:tcW w:w="1288" w:type="pct"/>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方正仿宋简体"/>
                <w:color w:val="000000" w:themeColor="text1"/>
                <w:szCs w:val="21"/>
                <w14:textFill>
                  <w14:solidFill>
                    <w14:schemeClr w14:val="tx1"/>
                  </w14:solidFill>
                </w14:textFill>
              </w:rPr>
            </w:pPr>
            <w:r>
              <w:rPr>
                <w:rFonts w:ascii="Times New Roman" w:hAnsi="Times New Roman" w:eastAsia="方正仿宋简体"/>
                <w:color w:val="000000" w:themeColor="text1"/>
                <w:szCs w:val="21"/>
                <w14:textFill>
                  <w14:solidFill>
                    <w14:schemeClr w14:val="tx1"/>
                  </w14:solidFill>
                </w14:textFill>
              </w:rPr>
              <w:t>雨污分流不彻底；粪堆场面积较小，不能满足运行需求。</w:t>
            </w:r>
          </w:p>
        </w:tc>
      </w:tr>
      <w:tr>
        <w:tblPrEx>
          <w:tblCellMar>
            <w:top w:w="0" w:type="dxa"/>
            <w:left w:w="108" w:type="dxa"/>
            <w:bottom w:w="0" w:type="dxa"/>
            <w:right w:w="108" w:type="dxa"/>
          </w:tblCellMar>
        </w:tblPrEx>
        <w:trPr>
          <w:trHeight w:val="540" w:hRule="atLeast"/>
          <w:jc w:val="center"/>
        </w:trPr>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7</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李贤颂养猪场</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石桥镇</w:t>
            </w:r>
          </w:p>
        </w:tc>
        <w:tc>
          <w:tcPr>
            <w:tcW w:w="6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北一村</w:t>
            </w:r>
          </w:p>
        </w:tc>
        <w:tc>
          <w:tcPr>
            <w:tcW w:w="42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生猪</w:t>
            </w:r>
          </w:p>
        </w:tc>
        <w:tc>
          <w:tcPr>
            <w:tcW w:w="4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480</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干清、水冲</w:t>
            </w:r>
          </w:p>
        </w:tc>
        <w:tc>
          <w:tcPr>
            <w:tcW w:w="1288" w:type="pct"/>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方正仿宋简体"/>
                <w:color w:val="000000" w:themeColor="text1"/>
                <w:szCs w:val="21"/>
                <w14:textFill>
                  <w14:solidFill>
                    <w14:schemeClr w14:val="tx1"/>
                  </w14:solidFill>
                </w14:textFill>
              </w:rPr>
            </w:pPr>
            <w:r>
              <w:rPr>
                <w:rFonts w:ascii="Times New Roman" w:hAnsi="Times New Roman" w:eastAsia="方正仿宋简体"/>
                <w:color w:val="000000" w:themeColor="text1"/>
                <w:szCs w:val="21"/>
                <w14:textFill>
                  <w14:solidFill>
                    <w14:schemeClr w14:val="tx1"/>
                  </w14:solidFill>
                </w14:textFill>
              </w:rPr>
              <w:t>雨污分流不彻底；粪堆场面积较小，不能满足运行需求。</w:t>
            </w:r>
          </w:p>
        </w:tc>
      </w:tr>
      <w:tr>
        <w:tblPrEx>
          <w:tblCellMar>
            <w:top w:w="0" w:type="dxa"/>
            <w:left w:w="108" w:type="dxa"/>
            <w:bottom w:w="0" w:type="dxa"/>
            <w:right w:w="108" w:type="dxa"/>
          </w:tblCellMar>
        </w:tblPrEx>
        <w:trPr>
          <w:trHeight w:val="540" w:hRule="atLeast"/>
          <w:jc w:val="center"/>
        </w:trPr>
        <w:tc>
          <w:tcPr>
            <w:tcW w:w="24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8</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黄勇养猪场</w:t>
            </w:r>
          </w:p>
        </w:tc>
        <w:tc>
          <w:tcPr>
            <w:tcW w:w="42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石桥镇</w:t>
            </w:r>
          </w:p>
        </w:tc>
        <w:tc>
          <w:tcPr>
            <w:tcW w:w="6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刘营村</w:t>
            </w:r>
          </w:p>
        </w:tc>
        <w:tc>
          <w:tcPr>
            <w:tcW w:w="42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生猪</w:t>
            </w:r>
          </w:p>
        </w:tc>
        <w:tc>
          <w:tcPr>
            <w:tcW w:w="4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简体"/>
                <w:color w:val="000000"/>
                <w:szCs w:val="21"/>
              </w:rPr>
            </w:pPr>
            <w:r>
              <w:rPr>
                <w:rFonts w:ascii="Times New Roman" w:hAnsi="Times New Roman" w:eastAsia="方正仿宋简体"/>
                <w:color w:val="000000"/>
                <w:szCs w:val="21"/>
              </w:rPr>
              <w:t>300</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干清、水冲</w:t>
            </w:r>
          </w:p>
        </w:tc>
        <w:tc>
          <w:tcPr>
            <w:tcW w:w="1288" w:type="pct"/>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方正仿宋简体"/>
                <w:color w:val="000000" w:themeColor="text1"/>
                <w:szCs w:val="21"/>
                <w14:textFill>
                  <w14:solidFill>
                    <w14:schemeClr w14:val="tx1"/>
                  </w14:solidFill>
                </w14:textFill>
              </w:rPr>
            </w:pPr>
            <w:r>
              <w:rPr>
                <w:rFonts w:ascii="Times New Roman" w:hAnsi="Times New Roman" w:eastAsia="方正仿宋简体"/>
                <w:color w:val="000000" w:themeColor="text1"/>
                <w:szCs w:val="21"/>
                <w14:textFill>
                  <w14:solidFill>
                    <w14:schemeClr w14:val="tx1"/>
                  </w14:solidFill>
                </w14:textFill>
              </w:rPr>
              <w:t>雨污分流不彻底；粪堆场面积较小，不能满足运行需求。</w:t>
            </w:r>
          </w:p>
        </w:tc>
      </w:tr>
    </w:tbl>
    <w:p>
      <w:pPr>
        <w:spacing w:line="360" w:lineRule="auto"/>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br w:type="page"/>
      </w:r>
      <w:r>
        <w:rPr>
          <w:rFonts w:ascii="Times New Roman" w:hAnsi="Times New Roman" w:eastAsia="方正仿宋简体"/>
          <w:b/>
          <w:color w:val="000000" w:themeColor="text1"/>
          <w:sz w:val="32"/>
          <w:szCs w:val="32"/>
          <w14:textFill>
            <w14:solidFill>
              <w14:schemeClr w14:val="tx1"/>
            </w14:solidFill>
          </w14:textFill>
        </w:rPr>
        <w:t>附表4-1  畜禽养殖污染防治重点工程支持主体和内容清单</w:t>
      </w:r>
    </w:p>
    <w:tbl>
      <w:tblPr>
        <w:tblStyle w:val="27"/>
        <w:tblW w:w="14024" w:type="dxa"/>
        <w:jc w:val="center"/>
        <w:tblLayout w:type="fixed"/>
        <w:tblCellMar>
          <w:top w:w="0" w:type="dxa"/>
          <w:left w:w="0" w:type="dxa"/>
          <w:bottom w:w="0" w:type="dxa"/>
          <w:right w:w="0" w:type="dxa"/>
        </w:tblCellMar>
      </w:tblPr>
      <w:tblGrid>
        <w:gridCol w:w="1156"/>
        <w:gridCol w:w="3649"/>
        <w:gridCol w:w="1245"/>
        <w:gridCol w:w="1404"/>
        <w:gridCol w:w="1846"/>
        <w:gridCol w:w="1756"/>
        <w:gridCol w:w="1484"/>
        <w:gridCol w:w="1484"/>
      </w:tblGrid>
      <w:tr>
        <w:tblPrEx>
          <w:tblCellMar>
            <w:top w:w="0" w:type="dxa"/>
            <w:left w:w="0" w:type="dxa"/>
            <w:bottom w:w="0" w:type="dxa"/>
            <w:right w:w="0" w:type="dxa"/>
          </w:tblCellMar>
        </w:tblPrEx>
        <w:trPr>
          <w:trHeight w:val="280" w:hRule="atLeast"/>
          <w:jc w:val="center"/>
        </w:trPr>
        <w:tc>
          <w:tcPr>
            <w:tcW w:w="480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建设内容</w:t>
            </w:r>
          </w:p>
        </w:tc>
        <w:tc>
          <w:tcPr>
            <w:tcW w:w="2649"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建设任务</w:t>
            </w:r>
          </w:p>
        </w:tc>
        <w:tc>
          <w:tcPr>
            <w:tcW w:w="18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单价</w:t>
            </w:r>
          </w:p>
        </w:tc>
        <w:tc>
          <w:tcPr>
            <w:tcW w:w="1756"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投资估算（万元）</w:t>
            </w:r>
          </w:p>
        </w:tc>
        <w:tc>
          <w:tcPr>
            <w:tcW w:w="296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资金筹措（万元）</w:t>
            </w:r>
          </w:p>
        </w:tc>
      </w:tr>
      <w:tr>
        <w:tblPrEx>
          <w:tblCellMar>
            <w:top w:w="0" w:type="dxa"/>
            <w:left w:w="0" w:type="dxa"/>
            <w:bottom w:w="0" w:type="dxa"/>
            <w:right w:w="0" w:type="dxa"/>
          </w:tblCellMar>
        </w:tblPrEx>
        <w:trPr>
          <w:trHeight w:val="485" w:hRule="atLeast"/>
          <w:jc w:val="center"/>
        </w:trPr>
        <w:tc>
          <w:tcPr>
            <w:tcW w:w="480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单位</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工程量</w:t>
            </w:r>
          </w:p>
        </w:tc>
        <w:tc>
          <w:tcPr>
            <w:tcW w:w="18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（元）</w:t>
            </w:r>
          </w:p>
        </w:tc>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p>
        </w:tc>
        <w:tc>
          <w:tcPr>
            <w:tcW w:w="1484" w:type="dxa"/>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配套资金</w:t>
            </w:r>
          </w:p>
        </w:tc>
        <w:tc>
          <w:tcPr>
            <w:tcW w:w="1484" w:type="dxa"/>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业主自筹</w:t>
            </w:r>
          </w:p>
        </w:tc>
      </w:tr>
      <w:tr>
        <w:tblPrEx>
          <w:tblCellMar>
            <w:top w:w="0" w:type="dxa"/>
            <w:left w:w="0" w:type="dxa"/>
            <w:bottom w:w="0" w:type="dxa"/>
            <w:right w:w="0" w:type="dxa"/>
          </w:tblCellMar>
        </w:tblPrEx>
        <w:trPr>
          <w:trHeight w:val="567" w:hRule="atLeast"/>
          <w:jc w:val="center"/>
        </w:trPr>
        <w:tc>
          <w:tcPr>
            <w:tcW w:w="9300" w:type="dxa"/>
            <w:gridSpan w:val="5"/>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一、畜禽规模养殖场及散养户粪污处理设施</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345.6</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345.6</w:t>
            </w:r>
          </w:p>
        </w:tc>
      </w:tr>
      <w:tr>
        <w:tblPrEx>
          <w:tblCellMar>
            <w:top w:w="0" w:type="dxa"/>
            <w:left w:w="0" w:type="dxa"/>
            <w:bottom w:w="0" w:type="dxa"/>
            <w:right w:w="0" w:type="dxa"/>
          </w:tblCellMar>
        </w:tblPrEx>
        <w:trPr>
          <w:trHeight w:val="510" w:hRule="atLeast"/>
          <w:jc w:val="center"/>
        </w:trPr>
        <w:tc>
          <w:tcPr>
            <w:tcW w:w="11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color w:val="000000" w:themeColor="text1"/>
                <w:kern w:val="0"/>
                <w:szCs w:val="21"/>
                <w14:textFill>
                  <w14:solidFill>
                    <w14:schemeClr w14:val="tx1"/>
                  </w14:solidFill>
                </w14:textFill>
              </w:rPr>
            </w:pPr>
            <w:r>
              <w:rPr>
                <w:rFonts w:ascii="Times New Roman" w:hAnsi="Times New Roman" w:eastAsia="方正仿宋简体"/>
                <w:b/>
                <w:color w:val="000000" w:themeColor="text1"/>
                <w:kern w:val="0"/>
                <w:szCs w:val="21"/>
                <w14:textFill>
                  <w14:solidFill>
                    <w14:schemeClr w14:val="tx1"/>
                  </w14:solidFill>
                </w14:textFill>
              </w:rPr>
              <w:t>建设主体</w:t>
            </w:r>
          </w:p>
        </w:tc>
        <w:tc>
          <w:tcPr>
            <w:tcW w:w="12868" w:type="dxa"/>
            <w:gridSpan w:val="7"/>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畜禽规模化养殖场及散养户</w:t>
            </w:r>
          </w:p>
        </w:tc>
      </w:tr>
      <w:tr>
        <w:tblPrEx>
          <w:tblCellMar>
            <w:top w:w="0" w:type="dxa"/>
            <w:left w:w="0" w:type="dxa"/>
            <w:bottom w:w="0" w:type="dxa"/>
            <w:right w:w="0" w:type="dxa"/>
          </w:tblCellMar>
        </w:tblPrEx>
        <w:trPr>
          <w:trHeight w:val="510" w:hRule="atLeast"/>
          <w:jc w:val="center"/>
        </w:trPr>
        <w:tc>
          <w:tcPr>
            <w:tcW w:w="11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1</w:t>
            </w:r>
          </w:p>
        </w:tc>
        <w:tc>
          <w:tcPr>
            <w:tcW w:w="36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themeColor="text1"/>
                <w:szCs w:val="21"/>
                <w14:textFill>
                  <w14:solidFill>
                    <w14:schemeClr w14:val="tx1"/>
                  </w14:solidFill>
                </w14:textFill>
              </w:rPr>
            </w:pPr>
            <w:r>
              <w:rPr>
                <w:rFonts w:ascii="Times New Roman" w:hAnsi="Times New Roman" w:eastAsia="方正仿宋简体"/>
                <w:color w:val="000000" w:themeColor="text1"/>
                <w:szCs w:val="21"/>
                <w14:textFill>
                  <w14:solidFill>
                    <w14:schemeClr w14:val="tx1"/>
                  </w14:solidFill>
                </w14:textFill>
              </w:rPr>
              <w:t>雨水沟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color w:val="000000" w:themeColor="text1"/>
                <w:kern w:val="0"/>
                <w:szCs w:val="21"/>
                <w:lang w:bidi="ar"/>
                <w14:textFill>
                  <w14:solidFill>
                    <w14:schemeClr w14:val="tx1"/>
                  </w14:solidFill>
                </w14:textFill>
              </w:rPr>
            </w:pPr>
            <w:r>
              <w:rPr>
                <w:rFonts w:ascii="Times New Roman" w:hAnsi="Times New Roman" w:eastAsia="方正仿宋简体"/>
                <w:color w:val="000000" w:themeColor="text1"/>
                <w:kern w:val="0"/>
                <w:szCs w:val="21"/>
                <w:lang w:bidi="ar"/>
                <w14:textFill>
                  <w14:solidFill>
                    <w14:schemeClr w14:val="tx1"/>
                  </w14:solidFill>
                </w14:textFill>
              </w:rPr>
              <w:t>m</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8000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75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60</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color w:val="000000" w:themeColor="text1"/>
                <w:kern w:val="0"/>
                <w:szCs w:val="21"/>
                <w:lang w:bidi="ar"/>
                <w14:textFill>
                  <w14:solidFill>
                    <w14:schemeClr w14:val="tx1"/>
                  </w14:solidFill>
                </w14:textFill>
              </w:rPr>
            </w:pPr>
            <w:r>
              <w:rPr>
                <w:rFonts w:ascii="Times New Roman" w:hAnsi="Times New Roman" w:eastAsia="方正仿宋简体"/>
                <w:color w:val="000000" w:themeColor="text1"/>
                <w:kern w:val="0"/>
                <w:szCs w:val="21"/>
                <w:lang w:bidi="ar"/>
                <w14:textFill>
                  <w14:solidFill>
                    <w14:schemeClr w14:val="tx1"/>
                  </w14:solidFill>
                </w14:textFill>
              </w:rPr>
              <w:t>—</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60</w:t>
            </w:r>
          </w:p>
        </w:tc>
      </w:tr>
      <w:tr>
        <w:tblPrEx>
          <w:tblCellMar>
            <w:top w:w="0" w:type="dxa"/>
            <w:left w:w="0" w:type="dxa"/>
            <w:bottom w:w="0" w:type="dxa"/>
            <w:right w:w="0" w:type="dxa"/>
          </w:tblCellMar>
        </w:tblPrEx>
        <w:trPr>
          <w:trHeight w:val="510" w:hRule="atLeast"/>
          <w:jc w:val="center"/>
        </w:trPr>
        <w:tc>
          <w:tcPr>
            <w:tcW w:w="11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2</w:t>
            </w:r>
          </w:p>
        </w:tc>
        <w:tc>
          <w:tcPr>
            <w:tcW w:w="36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themeColor="text1"/>
                <w:szCs w:val="21"/>
                <w14:textFill>
                  <w14:solidFill>
                    <w14:schemeClr w14:val="tx1"/>
                  </w14:solidFill>
                </w14:textFill>
              </w:rPr>
            </w:pPr>
            <w:r>
              <w:rPr>
                <w:rFonts w:ascii="Times New Roman" w:hAnsi="Times New Roman" w:eastAsia="方正仿宋简体"/>
                <w:color w:val="000000" w:themeColor="text1"/>
                <w:szCs w:val="21"/>
                <w14:textFill>
                  <w14:solidFill>
                    <w14:schemeClr w14:val="tx1"/>
                  </w14:solidFill>
                </w14:textFill>
              </w:rPr>
              <w:t>暗管排污沟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color w:val="000000" w:themeColor="text1"/>
                <w:kern w:val="0"/>
                <w:szCs w:val="21"/>
                <w:lang w:bidi="ar"/>
                <w14:textFill>
                  <w14:solidFill>
                    <w14:schemeClr w14:val="tx1"/>
                  </w14:solidFill>
                </w14:textFill>
              </w:rPr>
            </w:pPr>
            <w:r>
              <w:rPr>
                <w:rFonts w:ascii="Times New Roman" w:hAnsi="Times New Roman" w:eastAsia="方正仿宋简体"/>
                <w:color w:val="000000" w:themeColor="text1"/>
                <w:kern w:val="0"/>
                <w:szCs w:val="21"/>
                <w:lang w:bidi="ar"/>
                <w14:textFill>
                  <w14:solidFill>
                    <w14:schemeClr w14:val="tx1"/>
                  </w14:solidFill>
                </w14:textFill>
              </w:rPr>
              <w:t>m</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5000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120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60</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spacing w:line="360" w:lineRule="auto"/>
              <w:jc w:val="center"/>
              <w:textAlignment w:val="center"/>
              <w:rPr>
                <w:rFonts w:ascii="Times New Roman" w:hAnsi="Times New Roman" w:eastAsia="方正仿宋简体"/>
                <w:color w:val="000000" w:themeColor="text1"/>
                <w:kern w:val="0"/>
                <w:szCs w:val="21"/>
                <w:lang w:bidi="ar"/>
                <w14:textFill>
                  <w14:solidFill>
                    <w14:schemeClr w14:val="tx1"/>
                  </w14:solidFill>
                </w14:textFill>
              </w:rPr>
            </w:pPr>
            <w:r>
              <w:rPr>
                <w:rFonts w:ascii="Times New Roman" w:hAnsi="Times New Roman" w:eastAsia="方正仿宋简体"/>
                <w:color w:val="000000" w:themeColor="text1"/>
                <w:kern w:val="0"/>
                <w:szCs w:val="21"/>
                <w:lang w:bidi="ar"/>
                <w14:textFill>
                  <w14:solidFill>
                    <w14:schemeClr w14:val="tx1"/>
                  </w14:solidFill>
                </w14:textFill>
              </w:rPr>
              <w:t>—</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60</w:t>
            </w:r>
          </w:p>
        </w:tc>
      </w:tr>
      <w:tr>
        <w:tblPrEx>
          <w:tblCellMar>
            <w:top w:w="0" w:type="dxa"/>
            <w:left w:w="0" w:type="dxa"/>
            <w:bottom w:w="0" w:type="dxa"/>
            <w:right w:w="0" w:type="dxa"/>
          </w:tblCellMar>
        </w:tblPrEx>
        <w:trPr>
          <w:trHeight w:val="510" w:hRule="atLeast"/>
          <w:jc w:val="center"/>
        </w:trPr>
        <w:tc>
          <w:tcPr>
            <w:tcW w:w="11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3</w:t>
            </w:r>
          </w:p>
        </w:tc>
        <w:tc>
          <w:tcPr>
            <w:tcW w:w="36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themeColor="text1"/>
                <w:szCs w:val="21"/>
                <w14:textFill>
                  <w14:solidFill>
                    <w14:schemeClr w14:val="tx1"/>
                  </w14:solidFill>
                </w14:textFill>
              </w:rPr>
            </w:pPr>
            <w:r>
              <w:rPr>
                <w:rFonts w:ascii="Times New Roman" w:hAnsi="Times New Roman" w:eastAsia="方正仿宋简体"/>
                <w:color w:val="000000" w:themeColor="text1"/>
                <w:szCs w:val="21"/>
                <w14:textFill>
                  <w14:solidFill>
                    <w14:schemeClr w14:val="tx1"/>
                  </w14:solidFill>
                </w14:textFill>
              </w:rPr>
              <w:t>集污池</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color w:val="000000" w:themeColor="text1"/>
                <w:kern w:val="0"/>
                <w:szCs w:val="21"/>
                <w:lang w:bidi="ar"/>
                <w14:textFill>
                  <w14:solidFill>
                    <w14:schemeClr w14:val="tx1"/>
                  </w14:solidFill>
                </w14:textFill>
              </w:rPr>
            </w:pPr>
            <w:r>
              <w:rPr>
                <w:rStyle w:val="48"/>
                <w:rFonts w:eastAsia="方正仿宋简体"/>
                <w:color w:val="000000" w:themeColor="text1"/>
                <w:lang w:bidi="ar"/>
                <w14:textFill>
                  <w14:solidFill>
                    <w14:schemeClr w14:val="tx1"/>
                  </w14:solidFill>
                </w14:textFill>
              </w:rPr>
              <w:t>m</w:t>
            </w:r>
            <w:r>
              <w:rPr>
                <w:rStyle w:val="49"/>
                <w:rFonts w:eastAsia="方正仿宋简体"/>
                <w:color w:val="000000" w:themeColor="text1"/>
                <w:lang w:bidi="ar"/>
                <w14:textFill>
                  <w14:solidFill>
                    <w14:schemeClr w14:val="tx1"/>
                  </w14:solidFill>
                </w14:textFill>
              </w:rPr>
              <w:t>3</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3600</w:t>
            </w:r>
          </w:p>
        </w:tc>
        <w:tc>
          <w:tcPr>
            <w:tcW w:w="18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360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129.6</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spacing w:line="360" w:lineRule="auto"/>
              <w:jc w:val="center"/>
              <w:textAlignment w:val="center"/>
              <w:rPr>
                <w:rFonts w:ascii="Times New Roman" w:hAnsi="Times New Roman" w:eastAsia="方正仿宋简体"/>
                <w:color w:val="000000" w:themeColor="text1"/>
                <w:kern w:val="0"/>
                <w:szCs w:val="21"/>
                <w:lang w:bidi="ar"/>
                <w14:textFill>
                  <w14:solidFill>
                    <w14:schemeClr w14:val="tx1"/>
                  </w14:solidFill>
                </w14:textFill>
              </w:rPr>
            </w:pPr>
            <w:r>
              <w:rPr>
                <w:rFonts w:ascii="Times New Roman" w:hAnsi="Times New Roman" w:eastAsia="方正仿宋简体"/>
                <w:color w:val="000000" w:themeColor="text1"/>
                <w:kern w:val="0"/>
                <w:szCs w:val="21"/>
                <w:lang w:bidi="ar"/>
                <w14:textFill>
                  <w14:solidFill>
                    <w14:schemeClr w14:val="tx1"/>
                  </w14:solidFill>
                </w14:textFill>
              </w:rPr>
              <w:t>—</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129.6</w:t>
            </w:r>
          </w:p>
        </w:tc>
      </w:tr>
      <w:tr>
        <w:tblPrEx>
          <w:tblCellMar>
            <w:top w:w="0" w:type="dxa"/>
            <w:left w:w="0" w:type="dxa"/>
            <w:bottom w:w="0" w:type="dxa"/>
            <w:right w:w="0" w:type="dxa"/>
          </w:tblCellMar>
        </w:tblPrEx>
        <w:trPr>
          <w:trHeight w:val="510" w:hRule="atLeast"/>
          <w:jc w:val="center"/>
        </w:trPr>
        <w:tc>
          <w:tcPr>
            <w:tcW w:w="11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5</w:t>
            </w:r>
          </w:p>
        </w:tc>
        <w:tc>
          <w:tcPr>
            <w:tcW w:w="36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themeColor="text1"/>
                <w:szCs w:val="21"/>
                <w14:textFill>
                  <w14:solidFill>
                    <w14:schemeClr w14:val="tx1"/>
                  </w14:solidFill>
                </w14:textFill>
              </w:rPr>
            </w:pPr>
            <w:r>
              <w:rPr>
                <w:rFonts w:ascii="Times New Roman" w:hAnsi="Times New Roman" w:eastAsia="方正仿宋简体"/>
                <w:color w:val="000000" w:themeColor="text1"/>
                <w:szCs w:val="21"/>
                <w14:textFill>
                  <w14:solidFill>
                    <w14:schemeClr w14:val="tx1"/>
                  </w14:solidFill>
                </w14:textFill>
              </w:rPr>
              <w:t>堆粪场</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color w:val="000000" w:themeColor="text1"/>
                <w:kern w:val="0"/>
                <w:szCs w:val="21"/>
                <w:lang w:bidi="ar"/>
                <w14:textFill>
                  <w14:solidFill>
                    <w14:schemeClr w14:val="tx1"/>
                  </w14:solidFill>
                </w14:textFill>
              </w:rPr>
            </w:pPr>
            <w:r>
              <w:rPr>
                <w:rStyle w:val="48"/>
                <w:rFonts w:eastAsia="方正仿宋简体"/>
                <w:color w:val="000000" w:themeColor="text1"/>
                <w:lang w:bidi="ar"/>
                <w14:textFill>
                  <w14:solidFill>
                    <w14:schemeClr w14:val="tx1"/>
                  </w14:solidFill>
                </w14:textFill>
              </w:rPr>
              <w:t>m</w:t>
            </w:r>
            <w:r>
              <w:rPr>
                <w:rStyle w:val="49"/>
                <w:rFonts w:eastAsia="方正仿宋简体"/>
                <w:color w:val="000000" w:themeColor="text1"/>
                <w:lang w:bidi="ar"/>
                <w14:textFill>
                  <w14:solidFill>
                    <w14:schemeClr w14:val="tx1"/>
                  </w14:solidFill>
                </w14:textFill>
              </w:rPr>
              <w:t>2</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2000</w:t>
            </w:r>
          </w:p>
        </w:tc>
        <w:tc>
          <w:tcPr>
            <w:tcW w:w="18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480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96</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cPr>
          <w:p>
            <w:pPr>
              <w:widowControl/>
              <w:spacing w:line="360" w:lineRule="auto"/>
              <w:jc w:val="center"/>
              <w:textAlignment w:val="center"/>
              <w:rPr>
                <w:rFonts w:ascii="Times New Roman" w:hAnsi="Times New Roman" w:eastAsia="方正仿宋简体"/>
                <w:color w:val="000000" w:themeColor="text1"/>
                <w:kern w:val="0"/>
                <w:szCs w:val="21"/>
                <w:lang w:bidi="ar"/>
                <w14:textFill>
                  <w14:solidFill>
                    <w14:schemeClr w14:val="tx1"/>
                  </w14:solidFill>
                </w14:textFill>
              </w:rPr>
            </w:pPr>
            <w:r>
              <w:rPr>
                <w:rFonts w:ascii="Times New Roman" w:hAnsi="Times New Roman" w:eastAsia="方正仿宋简体"/>
                <w:color w:val="000000" w:themeColor="text1"/>
                <w:kern w:val="0"/>
                <w:szCs w:val="21"/>
                <w:lang w:bidi="ar"/>
                <w14:textFill>
                  <w14:solidFill>
                    <w14:schemeClr w14:val="tx1"/>
                  </w14:solidFill>
                </w14:textFill>
              </w:rPr>
              <w:t>—</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96</w:t>
            </w:r>
          </w:p>
        </w:tc>
      </w:tr>
      <w:tr>
        <w:tblPrEx>
          <w:tblCellMar>
            <w:top w:w="0" w:type="dxa"/>
            <w:left w:w="0" w:type="dxa"/>
            <w:bottom w:w="0" w:type="dxa"/>
            <w:right w:w="0" w:type="dxa"/>
          </w:tblCellMar>
        </w:tblPrEx>
        <w:trPr>
          <w:trHeight w:val="510" w:hRule="atLeast"/>
          <w:jc w:val="center"/>
        </w:trPr>
        <w:tc>
          <w:tcPr>
            <w:tcW w:w="9300" w:type="dxa"/>
            <w:gridSpan w:val="5"/>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二、田间配套设施建设</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857</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257.1</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599.9</w:t>
            </w:r>
          </w:p>
        </w:tc>
      </w:tr>
      <w:tr>
        <w:tblPrEx>
          <w:tblCellMar>
            <w:top w:w="0" w:type="dxa"/>
            <w:left w:w="0" w:type="dxa"/>
            <w:bottom w:w="0" w:type="dxa"/>
            <w:right w:w="0" w:type="dxa"/>
          </w:tblCellMar>
        </w:tblPrEx>
        <w:trPr>
          <w:trHeight w:val="510" w:hRule="atLeast"/>
          <w:jc w:val="center"/>
        </w:trPr>
        <w:tc>
          <w:tcPr>
            <w:tcW w:w="11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b/>
                <w:color w:val="000000" w:themeColor="text1"/>
                <w:kern w:val="0"/>
                <w:szCs w:val="21"/>
                <w14:textFill>
                  <w14:solidFill>
                    <w14:schemeClr w14:val="tx1"/>
                  </w14:solidFill>
                </w14:textFill>
              </w:rPr>
            </w:pPr>
            <w:r>
              <w:rPr>
                <w:rFonts w:ascii="Times New Roman" w:hAnsi="Times New Roman" w:eastAsia="方正仿宋简体"/>
                <w:b/>
                <w:color w:val="000000" w:themeColor="text1"/>
                <w:kern w:val="0"/>
                <w:szCs w:val="21"/>
                <w14:textFill>
                  <w14:solidFill>
                    <w14:schemeClr w14:val="tx1"/>
                  </w14:solidFill>
                </w14:textFill>
              </w:rPr>
              <w:t>建设主体</w:t>
            </w:r>
          </w:p>
        </w:tc>
        <w:tc>
          <w:tcPr>
            <w:tcW w:w="12868" w:type="dxa"/>
            <w:gridSpan w:val="7"/>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畜禽规模化养殖场及散养户</w:t>
            </w:r>
          </w:p>
        </w:tc>
      </w:tr>
      <w:tr>
        <w:tblPrEx>
          <w:tblCellMar>
            <w:top w:w="0" w:type="dxa"/>
            <w:left w:w="0" w:type="dxa"/>
            <w:bottom w:w="0" w:type="dxa"/>
            <w:right w:w="0" w:type="dxa"/>
          </w:tblCellMar>
        </w:tblPrEx>
        <w:trPr>
          <w:trHeight w:val="510" w:hRule="atLeast"/>
          <w:jc w:val="center"/>
        </w:trPr>
        <w:tc>
          <w:tcPr>
            <w:tcW w:w="11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1</w:t>
            </w:r>
          </w:p>
        </w:tc>
        <w:tc>
          <w:tcPr>
            <w:tcW w:w="36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adjustRightInd w:val="0"/>
              <w:snapToGrid w:val="0"/>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翻耙机</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adjustRightInd w:val="0"/>
              <w:snapToGrid w:val="0"/>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套</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3</w:t>
            </w:r>
          </w:p>
        </w:tc>
        <w:tc>
          <w:tcPr>
            <w:tcW w:w="18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120000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36</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szCs w:val="21"/>
              </w:rPr>
            </w:pPr>
            <w:r>
              <w:rPr>
                <w:rFonts w:ascii="Times New Roman" w:hAnsi="Times New Roman" w:eastAsia="方正仿宋简体"/>
                <w:szCs w:val="21"/>
              </w:rPr>
              <w:t>10.8</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szCs w:val="21"/>
              </w:rPr>
            </w:pPr>
            <w:r>
              <w:rPr>
                <w:rFonts w:ascii="Times New Roman" w:hAnsi="Times New Roman" w:eastAsia="方正仿宋简体"/>
                <w:szCs w:val="21"/>
              </w:rPr>
              <w:t>25.2</w:t>
            </w:r>
          </w:p>
        </w:tc>
      </w:tr>
      <w:tr>
        <w:tblPrEx>
          <w:tblCellMar>
            <w:top w:w="0" w:type="dxa"/>
            <w:left w:w="0" w:type="dxa"/>
            <w:bottom w:w="0" w:type="dxa"/>
            <w:right w:w="0" w:type="dxa"/>
          </w:tblCellMar>
        </w:tblPrEx>
        <w:trPr>
          <w:trHeight w:val="510" w:hRule="atLeast"/>
          <w:jc w:val="center"/>
        </w:trPr>
        <w:tc>
          <w:tcPr>
            <w:tcW w:w="11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2</w:t>
            </w:r>
          </w:p>
        </w:tc>
        <w:tc>
          <w:tcPr>
            <w:tcW w:w="36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adjustRightInd w:val="0"/>
              <w:snapToGrid w:val="0"/>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污水泵送系统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adjustRightInd w:val="0"/>
              <w:snapToGrid w:val="0"/>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套</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45</w:t>
            </w:r>
          </w:p>
        </w:tc>
        <w:tc>
          <w:tcPr>
            <w:tcW w:w="18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8000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36</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szCs w:val="21"/>
              </w:rPr>
            </w:pPr>
            <w:r>
              <w:rPr>
                <w:rFonts w:ascii="Times New Roman" w:hAnsi="Times New Roman" w:eastAsia="方正仿宋简体"/>
                <w:szCs w:val="21"/>
              </w:rPr>
              <w:t>10.8</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szCs w:val="21"/>
              </w:rPr>
            </w:pPr>
            <w:r>
              <w:rPr>
                <w:rFonts w:ascii="Times New Roman" w:hAnsi="Times New Roman" w:eastAsia="方正仿宋简体"/>
                <w:szCs w:val="21"/>
              </w:rPr>
              <w:t>25.2</w:t>
            </w:r>
          </w:p>
        </w:tc>
      </w:tr>
      <w:tr>
        <w:tblPrEx>
          <w:tblCellMar>
            <w:top w:w="0" w:type="dxa"/>
            <w:left w:w="0" w:type="dxa"/>
            <w:bottom w:w="0" w:type="dxa"/>
            <w:right w:w="0" w:type="dxa"/>
          </w:tblCellMar>
        </w:tblPrEx>
        <w:trPr>
          <w:trHeight w:val="510" w:hRule="atLeast"/>
          <w:jc w:val="center"/>
        </w:trPr>
        <w:tc>
          <w:tcPr>
            <w:tcW w:w="11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3</w:t>
            </w:r>
          </w:p>
        </w:tc>
        <w:tc>
          <w:tcPr>
            <w:tcW w:w="36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adjustRightInd w:val="0"/>
              <w:snapToGrid w:val="0"/>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清粪设备</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adjustRightInd w:val="0"/>
              <w:snapToGrid w:val="0"/>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套</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15</w:t>
            </w:r>
          </w:p>
        </w:tc>
        <w:tc>
          <w:tcPr>
            <w:tcW w:w="18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250000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375</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szCs w:val="21"/>
              </w:rPr>
            </w:pPr>
            <w:r>
              <w:rPr>
                <w:rFonts w:ascii="Times New Roman" w:hAnsi="Times New Roman" w:eastAsia="方正仿宋简体"/>
                <w:szCs w:val="21"/>
              </w:rPr>
              <w:t>112.5</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szCs w:val="21"/>
              </w:rPr>
            </w:pPr>
            <w:r>
              <w:rPr>
                <w:rFonts w:ascii="Times New Roman" w:hAnsi="Times New Roman" w:eastAsia="方正仿宋简体"/>
                <w:szCs w:val="21"/>
              </w:rPr>
              <w:t>262.5</w:t>
            </w:r>
          </w:p>
        </w:tc>
      </w:tr>
      <w:tr>
        <w:tblPrEx>
          <w:tblCellMar>
            <w:top w:w="0" w:type="dxa"/>
            <w:left w:w="0" w:type="dxa"/>
            <w:bottom w:w="0" w:type="dxa"/>
            <w:right w:w="0" w:type="dxa"/>
          </w:tblCellMar>
        </w:tblPrEx>
        <w:trPr>
          <w:trHeight w:val="510" w:hRule="atLeast"/>
          <w:jc w:val="center"/>
        </w:trPr>
        <w:tc>
          <w:tcPr>
            <w:tcW w:w="11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4</w:t>
            </w:r>
          </w:p>
        </w:tc>
        <w:tc>
          <w:tcPr>
            <w:tcW w:w="36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adjustRightInd w:val="0"/>
              <w:snapToGrid w:val="0"/>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粪肥专用输送车</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adjustRightInd w:val="0"/>
              <w:snapToGrid w:val="0"/>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辆</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3</w:t>
            </w:r>
          </w:p>
        </w:tc>
        <w:tc>
          <w:tcPr>
            <w:tcW w:w="18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300000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90</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szCs w:val="21"/>
              </w:rPr>
            </w:pPr>
            <w:r>
              <w:rPr>
                <w:rFonts w:ascii="Times New Roman" w:hAnsi="Times New Roman" w:eastAsia="方正仿宋简体"/>
                <w:szCs w:val="21"/>
              </w:rPr>
              <w:t>27</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szCs w:val="21"/>
              </w:rPr>
            </w:pPr>
            <w:r>
              <w:rPr>
                <w:rFonts w:ascii="Times New Roman" w:hAnsi="Times New Roman" w:eastAsia="方正仿宋简体"/>
                <w:szCs w:val="21"/>
              </w:rPr>
              <w:t>63</w:t>
            </w:r>
          </w:p>
        </w:tc>
      </w:tr>
      <w:tr>
        <w:tblPrEx>
          <w:tblCellMar>
            <w:top w:w="0" w:type="dxa"/>
            <w:left w:w="0" w:type="dxa"/>
            <w:bottom w:w="0" w:type="dxa"/>
            <w:right w:w="0" w:type="dxa"/>
          </w:tblCellMar>
        </w:tblPrEx>
        <w:trPr>
          <w:trHeight w:val="510" w:hRule="atLeast"/>
          <w:jc w:val="center"/>
        </w:trPr>
        <w:tc>
          <w:tcPr>
            <w:tcW w:w="11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5</w:t>
            </w:r>
          </w:p>
        </w:tc>
        <w:tc>
          <w:tcPr>
            <w:tcW w:w="36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adjustRightInd w:val="0"/>
              <w:snapToGrid w:val="0"/>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撒粪车</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adjustRightInd w:val="0"/>
              <w:snapToGrid w:val="0"/>
              <w:spacing w:line="360" w:lineRule="auto"/>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辆</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20</w:t>
            </w:r>
          </w:p>
        </w:tc>
        <w:tc>
          <w:tcPr>
            <w:tcW w:w="184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160000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color w:val="000000"/>
                <w:szCs w:val="21"/>
              </w:rPr>
            </w:pPr>
            <w:r>
              <w:rPr>
                <w:rFonts w:ascii="Times New Roman" w:hAnsi="Times New Roman" w:eastAsia="方正仿宋简体"/>
                <w:color w:val="000000"/>
                <w:szCs w:val="21"/>
              </w:rPr>
              <w:t>320</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szCs w:val="21"/>
              </w:rPr>
            </w:pPr>
            <w:r>
              <w:rPr>
                <w:rFonts w:ascii="Times New Roman" w:hAnsi="Times New Roman" w:eastAsia="方正仿宋简体"/>
                <w:szCs w:val="21"/>
              </w:rPr>
              <w:t>96</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360" w:lineRule="auto"/>
              <w:jc w:val="center"/>
              <w:rPr>
                <w:rFonts w:ascii="Times New Roman" w:hAnsi="Times New Roman" w:eastAsia="方正仿宋简体"/>
                <w:szCs w:val="21"/>
              </w:rPr>
            </w:pPr>
            <w:r>
              <w:rPr>
                <w:rFonts w:ascii="Times New Roman" w:hAnsi="Times New Roman" w:eastAsia="方正仿宋简体"/>
                <w:szCs w:val="21"/>
              </w:rPr>
              <w:t>224</w:t>
            </w:r>
          </w:p>
        </w:tc>
      </w:tr>
    </w:tbl>
    <w:p>
      <w:pPr>
        <w:spacing w:line="360" w:lineRule="auto"/>
        <w:jc w:val="center"/>
        <w:rPr>
          <w:rFonts w:ascii="Times New Roman" w:hAnsi="Times New Roman" w:eastAsia="方正仿宋简体"/>
          <w:b/>
          <w:color w:val="000000" w:themeColor="text1"/>
          <w:sz w:val="32"/>
          <w:szCs w:val="32"/>
          <w14:textFill>
            <w14:solidFill>
              <w14:schemeClr w14:val="tx1"/>
            </w14:solidFill>
          </w14:textFill>
        </w:rPr>
      </w:pPr>
      <w:r>
        <w:rPr>
          <w:rFonts w:ascii="Times New Roman" w:hAnsi="Times New Roman" w:eastAsia="方正仿宋简体"/>
          <w:color w:val="000000" w:themeColor="text1"/>
          <w:sz w:val="32"/>
          <w:szCs w:val="32"/>
          <w14:textFill>
            <w14:solidFill>
              <w14:schemeClr w14:val="tx1"/>
            </w14:solidFill>
          </w14:textFill>
        </w:rPr>
        <w:br w:type="page"/>
      </w:r>
      <w:r>
        <w:rPr>
          <w:rFonts w:ascii="Times New Roman" w:hAnsi="Times New Roman" w:eastAsia="方正仿宋简体"/>
          <w:b/>
          <w:color w:val="000000" w:themeColor="text1"/>
          <w:sz w:val="32"/>
          <w:szCs w:val="32"/>
          <w14:textFill>
            <w14:solidFill>
              <w14:schemeClr w14:val="tx1"/>
            </w14:solidFill>
          </w14:textFill>
        </w:rPr>
        <w:t>附表4-2 畜禽养殖污染防治重点工程支持主体和内容清单</w:t>
      </w:r>
    </w:p>
    <w:tbl>
      <w:tblPr>
        <w:tblStyle w:val="27"/>
        <w:tblpPr w:leftFromText="180" w:rightFromText="180" w:vertAnchor="text" w:tblpXSpec="center" w:tblpY="1"/>
        <w:tblOverlap w:val="never"/>
        <w:tblW w:w="14024" w:type="dxa"/>
        <w:tblInd w:w="0" w:type="dxa"/>
        <w:tblLayout w:type="fixed"/>
        <w:tblCellMar>
          <w:top w:w="0" w:type="dxa"/>
          <w:left w:w="0" w:type="dxa"/>
          <w:bottom w:w="0" w:type="dxa"/>
          <w:right w:w="0" w:type="dxa"/>
        </w:tblCellMar>
      </w:tblPr>
      <w:tblGrid>
        <w:gridCol w:w="577"/>
        <w:gridCol w:w="394"/>
        <w:gridCol w:w="1278"/>
        <w:gridCol w:w="29"/>
        <w:gridCol w:w="1985"/>
        <w:gridCol w:w="4819"/>
        <w:gridCol w:w="851"/>
        <w:gridCol w:w="850"/>
        <w:gridCol w:w="993"/>
        <w:gridCol w:w="1134"/>
        <w:gridCol w:w="1114"/>
      </w:tblGrid>
      <w:tr>
        <w:tblPrEx>
          <w:tblCellMar>
            <w:top w:w="0" w:type="dxa"/>
            <w:left w:w="0" w:type="dxa"/>
            <w:bottom w:w="0" w:type="dxa"/>
            <w:right w:w="0" w:type="dxa"/>
          </w:tblCellMar>
        </w:tblPrEx>
        <w:trPr>
          <w:trHeight w:val="133" w:hRule="atLeast"/>
        </w:trPr>
        <w:tc>
          <w:tcPr>
            <w:tcW w:w="10783" w:type="dxa"/>
            <w:gridSpan w:val="8"/>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三、畜禽粪污集中处理设施</w:t>
            </w:r>
          </w:p>
        </w:tc>
        <w:tc>
          <w:tcPr>
            <w:tcW w:w="993"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投资估算（万元）</w:t>
            </w:r>
          </w:p>
        </w:tc>
        <w:tc>
          <w:tcPr>
            <w:tcW w:w="224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资金筹措（万元）</w:t>
            </w:r>
          </w:p>
        </w:tc>
      </w:tr>
      <w:tr>
        <w:tblPrEx>
          <w:tblCellMar>
            <w:top w:w="0" w:type="dxa"/>
            <w:left w:w="0" w:type="dxa"/>
            <w:bottom w:w="0" w:type="dxa"/>
            <w:right w:w="0" w:type="dxa"/>
          </w:tblCellMar>
        </w:tblPrEx>
        <w:trPr>
          <w:trHeight w:val="133" w:hRule="atLeast"/>
        </w:trPr>
        <w:tc>
          <w:tcPr>
            <w:tcW w:w="10783" w:type="dxa"/>
            <w:gridSpan w:val="8"/>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b/>
                <w:bCs/>
                <w:color w:val="000000" w:themeColor="text1"/>
                <w:kern w:val="0"/>
                <w:szCs w:val="21"/>
                <w14:textFill>
                  <w14:solidFill>
                    <w14:schemeClr w14:val="tx1"/>
                  </w14:solidFill>
                </w14:textFill>
              </w:rPr>
            </w:pPr>
          </w:p>
        </w:tc>
        <w:tc>
          <w:tcPr>
            <w:tcW w:w="993"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b/>
                <w:bCs/>
                <w:color w:val="000000" w:themeColor="text1"/>
                <w:kern w:val="0"/>
                <w:szCs w:val="21"/>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配套资金</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业主自筹</w:t>
            </w:r>
          </w:p>
        </w:tc>
      </w:tr>
      <w:tr>
        <w:tblPrEx>
          <w:tblCellMar>
            <w:top w:w="0" w:type="dxa"/>
            <w:left w:w="0" w:type="dxa"/>
            <w:bottom w:w="0" w:type="dxa"/>
            <w:right w:w="0" w:type="dxa"/>
          </w:tblCellMar>
        </w:tblPrEx>
        <w:trPr>
          <w:trHeight w:val="236"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b/>
                <w:color w:val="000000" w:themeColor="text1"/>
                <w:kern w:val="0"/>
                <w:szCs w:val="21"/>
                <w14:textFill>
                  <w14:solidFill>
                    <w14:schemeClr w14:val="tx1"/>
                  </w14:solidFill>
                </w14:textFill>
              </w:rPr>
            </w:pPr>
            <w:r>
              <w:rPr>
                <w:rFonts w:ascii="Times New Roman" w:hAnsi="Times New Roman" w:eastAsia="方正仿宋简体"/>
                <w:b/>
                <w:color w:val="000000" w:themeColor="text1"/>
                <w:kern w:val="0"/>
                <w:szCs w:val="21"/>
                <w14:textFill>
                  <w14:solidFill>
                    <w14:schemeClr w14:val="tx1"/>
                  </w14:solidFill>
                </w14:textFill>
              </w:rPr>
              <w:t>序号</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b/>
                <w:color w:val="000000" w:themeColor="text1"/>
                <w:kern w:val="0"/>
                <w:szCs w:val="21"/>
                <w14:textFill>
                  <w14:solidFill>
                    <w14:schemeClr w14:val="tx1"/>
                  </w14:solidFill>
                </w14:textFill>
              </w:rPr>
            </w:pPr>
            <w:r>
              <w:rPr>
                <w:rFonts w:ascii="Times New Roman" w:hAnsi="Times New Roman" w:eastAsia="方正仿宋简体"/>
                <w:b/>
                <w:color w:val="000000" w:themeColor="text1"/>
                <w:kern w:val="0"/>
                <w:szCs w:val="21"/>
                <w14:textFill>
                  <w14:solidFill>
                    <w14:schemeClr w14:val="tx1"/>
                  </w14:solidFill>
                </w14:textFill>
              </w:rPr>
              <w:t>项目名称</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简体"/>
                <w:b/>
                <w:color w:val="000000" w:themeColor="text1"/>
                <w:kern w:val="0"/>
                <w:szCs w:val="21"/>
                <w14:textFill>
                  <w14:solidFill>
                    <w14:schemeClr w14:val="tx1"/>
                  </w14:solidFill>
                </w14:textFill>
              </w:rPr>
            </w:pPr>
            <w:r>
              <w:rPr>
                <w:rFonts w:ascii="Times New Roman" w:hAnsi="Times New Roman" w:eastAsia="方正仿宋简体"/>
                <w:b/>
                <w:color w:val="000000" w:themeColor="text1"/>
                <w:kern w:val="0"/>
                <w:szCs w:val="21"/>
                <w14:textFill>
                  <w14:solidFill>
                    <w14:schemeClr w14:val="tx1"/>
                  </w14:solidFill>
                </w14:textFill>
              </w:rPr>
              <w:t>建设主体</w:t>
            </w:r>
          </w:p>
        </w:tc>
        <w:tc>
          <w:tcPr>
            <w:tcW w:w="48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简体"/>
                <w:b/>
                <w:color w:val="000000" w:themeColor="text1"/>
                <w:kern w:val="0"/>
                <w:szCs w:val="21"/>
                <w14:textFill>
                  <w14:solidFill>
                    <w14:schemeClr w14:val="tx1"/>
                  </w14:solidFill>
                </w14:textFill>
              </w:rPr>
            </w:pPr>
            <w:r>
              <w:rPr>
                <w:rFonts w:ascii="Times New Roman" w:hAnsi="Times New Roman" w:eastAsia="方正仿宋简体"/>
                <w:b/>
                <w:color w:val="000000" w:themeColor="text1"/>
                <w:kern w:val="0"/>
                <w:szCs w:val="21"/>
                <w14:textFill>
                  <w14:solidFill>
                    <w14:schemeClr w14:val="tx1"/>
                  </w14:solidFill>
                </w14:textFill>
              </w:rPr>
              <w:t>建设内容及规模</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单位</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数量</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3000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900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2100</w:t>
            </w:r>
          </w:p>
        </w:tc>
      </w:tr>
      <w:tr>
        <w:tblPrEx>
          <w:tblCellMar>
            <w:top w:w="0" w:type="dxa"/>
            <w:left w:w="0" w:type="dxa"/>
            <w:bottom w:w="0" w:type="dxa"/>
            <w:right w:w="0" w:type="dxa"/>
          </w:tblCellMar>
        </w:tblPrEx>
        <w:trPr>
          <w:trHeight w:val="52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1</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有机肥生产建设项目</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通过招商引资方式</w:t>
            </w:r>
          </w:p>
        </w:tc>
        <w:tc>
          <w:tcPr>
            <w:tcW w:w="481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left"/>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拟在石桥镇建设1个有机肥生产项目，建设规模为日处理粪污量约120t/d。</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个</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1</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3000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900</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2100</w:t>
            </w:r>
          </w:p>
        </w:tc>
      </w:tr>
      <w:tr>
        <w:tblPrEx>
          <w:tblCellMar>
            <w:top w:w="0" w:type="dxa"/>
            <w:left w:w="0" w:type="dxa"/>
            <w:bottom w:w="0" w:type="dxa"/>
            <w:right w:w="0" w:type="dxa"/>
          </w:tblCellMar>
        </w:tblPrEx>
        <w:trPr>
          <w:trHeight w:val="310" w:hRule="atLeast"/>
        </w:trPr>
        <w:tc>
          <w:tcPr>
            <w:tcW w:w="10783" w:type="dxa"/>
            <w:gridSpan w:val="8"/>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四、监管体系建设项目</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350</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350</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Times New Roman" w:hAnsi="Times New Roman" w:eastAsia="方正仿宋简体"/>
                <w:b/>
                <w:bCs/>
                <w:color w:val="000000" w:themeColor="text1"/>
                <w:kern w:val="0"/>
                <w:szCs w:val="21"/>
                <w14:textFill>
                  <w14:solidFill>
                    <w14:schemeClr w14:val="tx1"/>
                  </w14:solidFill>
                </w14:textFill>
              </w:rPr>
            </w:pPr>
            <w:r>
              <w:rPr>
                <w:rFonts w:ascii="Times New Roman" w:hAnsi="Times New Roman" w:eastAsia="方正仿宋简体"/>
                <w:b/>
                <w:bCs/>
                <w:color w:val="000000" w:themeColor="text1"/>
                <w:kern w:val="0"/>
                <w:szCs w:val="21"/>
                <w14:textFill>
                  <w14:solidFill>
                    <w14:schemeClr w14:val="tx1"/>
                  </w14:solidFill>
                </w14:textFill>
              </w:rPr>
              <w:t>—</w:t>
            </w:r>
          </w:p>
        </w:tc>
      </w:tr>
      <w:tr>
        <w:tblPrEx>
          <w:tblCellMar>
            <w:top w:w="0" w:type="dxa"/>
            <w:left w:w="0" w:type="dxa"/>
            <w:bottom w:w="0" w:type="dxa"/>
            <w:right w:w="0" w:type="dxa"/>
          </w:tblCellMar>
        </w:tblPrEx>
        <w:trPr>
          <w:trHeight w:val="310" w:hRule="atLeast"/>
        </w:trPr>
        <w:tc>
          <w:tcPr>
            <w:tcW w:w="971" w:type="dxa"/>
            <w:gridSpan w:val="2"/>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widowControl/>
              <w:jc w:val="center"/>
              <w:textAlignment w:val="center"/>
              <w:rPr>
                <w:rFonts w:ascii="Times New Roman" w:hAnsi="Times New Roman" w:eastAsia="方正仿宋简体"/>
                <w:b/>
                <w:color w:val="000000" w:themeColor="text1"/>
                <w:kern w:val="0"/>
                <w:szCs w:val="21"/>
                <w14:textFill>
                  <w14:solidFill>
                    <w14:schemeClr w14:val="tx1"/>
                  </w14:solidFill>
                </w14:textFill>
              </w:rPr>
            </w:pPr>
            <w:r>
              <w:rPr>
                <w:rFonts w:ascii="Times New Roman" w:hAnsi="Times New Roman" w:eastAsia="方正仿宋简体"/>
                <w:b/>
                <w:color w:val="000000" w:themeColor="text1"/>
                <w:kern w:val="0"/>
                <w:szCs w:val="21"/>
                <w14:textFill>
                  <w14:solidFill>
                    <w14:schemeClr w14:val="tx1"/>
                  </w14:solidFill>
                </w14:textFill>
              </w:rPr>
              <w:t>序号</w:t>
            </w:r>
          </w:p>
        </w:tc>
        <w:tc>
          <w:tcPr>
            <w:tcW w:w="12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widowControl/>
              <w:jc w:val="center"/>
              <w:textAlignment w:val="center"/>
              <w:rPr>
                <w:rFonts w:ascii="Times New Roman" w:hAnsi="Times New Roman" w:eastAsia="方正仿宋简体"/>
                <w:b/>
                <w:color w:val="000000" w:themeColor="text1"/>
                <w:kern w:val="0"/>
                <w:szCs w:val="21"/>
                <w14:textFill>
                  <w14:solidFill>
                    <w14:schemeClr w14:val="tx1"/>
                  </w14:solidFill>
                </w14:textFill>
              </w:rPr>
            </w:pPr>
            <w:r>
              <w:rPr>
                <w:rFonts w:ascii="Times New Roman" w:hAnsi="Times New Roman" w:eastAsia="方正仿宋简体"/>
                <w:b/>
                <w:color w:val="000000" w:themeColor="text1"/>
                <w:kern w:val="0"/>
                <w:szCs w:val="21"/>
                <w14:textFill>
                  <w14:solidFill>
                    <w14:schemeClr w14:val="tx1"/>
                  </w14:solidFill>
                </w14:textFill>
              </w:rPr>
              <w:t>项目名称</w:t>
            </w:r>
          </w:p>
        </w:tc>
        <w:tc>
          <w:tcPr>
            <w:tcW w:w="20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方正仿宋简体"/>
                <w:b/>
                <w:color w:val="000000" w:themeColor="text1"/>
                <w:kern w:val="0"/>
                <w:szCs w:val="21"/>
                <w14:textFill>
                  <w14:solidFill>
                    <w14:schemeClr w14:val="tx1"/>
                  </w14:solidFill>
                </w14:textFill>
              </w:rPr>
            </w:pPr>
            <w:r>
              <w:rPr>
                <w:rFonts w:ascii="Times New Roman" w:hAnsi="Times New Roman" w:eastAsia="方正仿宋简体"/>
                <w:b/>
                <w:color w:val="000000" w:themeColor="text1"/>
                <w:kern w:val="0"/>
                <w:szCs w:val="21"/>
                <w14:textFill>
                  <w14:solidFill>
                    <w14:schemeClr w14:val="tx1"/>
                  </w14:solidFill>
                </w14:textFill>
              </w:rPr>
              <w:t>主体单位</w:t>
            </w:r>
          </w:p>
        </w:tc>
        <w:tc>
          <w:tcPr>
            <w:tcW w:w="652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Times New Roman" w:hAnsi="Times New Roman" w:eastAsia="方正仿宋简体"/>
                <w:b/>
                <w:color w:val="000000" w:themeColor="text1"/>
                <w:kern w:val="0"/>
                <w:szCs w:val="21"/>
                <w14:textFill>
                  <w14:solidFill>
                    <w14:schemeClr w14:val="tx1"/>
                  </w14:solidFill>
                </w14:textFill>
              </w:rPr>
            </w:pPr>
            <w:r>
              <w:rPr>
                <w:rFonts w:ascii="Times New Roman" w:hAnsi="Times New Roman" w:eastAsia="方正仿宋简体"/>
                <w:b/>
                <w:color w:val="000000" w:themeColor="text1"/>
                <w:kern w:val="0"/>
                <w:szCs w:val="21"/>
                <w14:textFill>
                  <w14:solidFill>
                    <w14:schemeClr w14:val="tx1"/>
                  </w14:solidFill>
                </w14:textFill>
              </w:rPr>
              <w:t>建设内容</w:t>
            </w:r>
          </w:p>
        </w:tc>
        <w:tc>
          <w:tcPr>
            <w:tcW w:w="3241" w:type="dxa"/>
            <w:gridSpan w:val="3"/>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w:t>
            </w:r>
          </w:p>
        </w:tc>
      </w:tr>
      <w:tr>
        <w:tblPrEx>
          <w:tblCellMar>
            <w:top w:w="0" w:type="dxa"/>
            <w:left w:w="0" w:type="dxa"/>
            <w:bottom w:w="0" w:type="dxa"/>
            <w:right w:w="0" w:type="dxa"/>
          </w:tblCellMar>
        </w:tblPrEx>
        <w:trPr>
          <w:trHeight w:val="310" w:hRule="atLeast"/>
        </w:trPr>
        <w:tc>
          <w:tcPr>
            <w:tcW w:w="971" w:type="dxa"/>
            <w:gridSpan w:val="2"/>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1</w:t>
            </w:r>
          </w:p>
        </w:tc>
        <w:tc>
          <w:tcPr>
            <w:tcW w:w="12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监管能力建设项目</w:t>
            </w:r>
          </w:p>
        </w:tc>
        <w:tc>
          <w:tcPr>
            <w:tcW w:w="2014" w:type="dxa"/>
            <w:gridSpan w:val="2"/>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济宁市生态环境局北湖省级旅游度假区分局、济宁北湖省级旅游度假区农业服务中心</w:t>
            </w:r>
          </w:p>
        </w:tc>
        <w:tc>
          <w:tcPr>
            <w:tcW w:w="6520" w:type="dxa"/>
            <w:gridSpan w:val="3"/>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围绕养殖生产、粪污资源化处理等数据链条，建设统一管理、分级使用、数据共享的畜禽规模养殖场信息管理平台。</w:t>
            </w:r>
          </w:p>
        </w:tc>
        <w:tc>
          <w:tcPr>
            <w:tcW w:w="993"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110</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110</w:t>
            </w:r>
          </w:p>
        </w:tc>
        <w:tc>
          <w:tcPr>
            <w:tcW w:w="1114"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w:t>
            </w:r>
          </w:p>
        </w:tc>
      </w:tr>
      <w:tr>
        <w:tblPrEx>
          <w:tblCellMar>
            <w:top w:w="0" w:type="dxa"/>
            <w:left w:w="0" w:type="dxa"/>
            <w:bottom w:w="0" w:type="dxa"/>
            <w:right w:w="0" w:type="dxa"/>
          </w:tblCellMar>
        </w:tblPrEx>
        <w:trPr>
          <w:trHeight w:val="310" w:hRule="atLeast"/>
        </w:trPr>
        <w:tc>
          <w:tcPr>
            <w:tcW w:w="971" w:type="dxa"/>
            <w:gridSpan w:val="2"/>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2</w:t>
            </w:r>
          </w:p>
        </w:tc>
        <w:tc>
          <w:tcPr>
            <w:tcW w:w="127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环境监测项目</w:t>
            </w:r>
          </w:p>
        </w:tc>
        <w:tc>
          <w:tcPr>
            <w:tcW w:w="2014" w:type="dxa"/>
            <w:gridSpan w:val="2"/>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济宁市生态环境局北湖省级旅游度假区分局</w:t>
            </w:r>
          </w:p>
        </w:tc>
        <w:tc>
          <w:tcPr>
            <w:tcW w:w="6520" w:type="dxa"/>
            <w:gridSpan w:val="3"/>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开展禁养区内畜禽养殖场及其他可能存在环境风险的养殖场、专业养殖户粪污检测及周边环境监测。</w:t>
            </w:r>
          </w:p>
        </w:tc>
        <w:tc>
          <w:tcPr>
            <w:tcW w:w="993"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240</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240</w:t>
            </w:r>
          </w:p>
        </w:tc>
        <w:tc>
          <w:tcPr>
            <w:tcW w:w="1114"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pPr>
              <w:widowControl/>
              <w:jc w:val="center"/>
              <w:textAlignment w:val="center"/>
              <w:rPr>
                <w:rFonts w:ascii="Times New Roman" w:hAnsi="Times New Roman" w:eastAsia="方正仿宋简体"/>
                <w:color w:val="000000" w:themeColor="text1"/>
                <w:kern w:val="0"/>
                <w:szCs w:val="21"/>
                <w14:textFill>
                  <w14:solidFill>
                    <w14:schemeClr w14:val="tx1"/>
                  </w14:solidFill>
                </w14:textFill>
              </w:rPr>
            </w:pPr>
            <w:r>
              <w:rPr>
                <w:rFonts w:ascii="Times New Roman" w:hAnsi="Times New Roman" w:eastAsia="方正仿宋简体"/>
                <w:color w:val="000000" w:themeColor="text1"/>
                <w:kern w:val="0"/>
                <w:szCs w:val="21"/>
                <w14:textFill>
                  <w14:solidFill>
                    <w14:schemeClr w14:val="tx1"/>
                  </w14:solidFill>
                </w14:textFill>
              </w:rPr>
              <w:t>—</w:t>
            </w:r>
          </w:p>
        </w:tc>
      </w:tr>
    </w:tbl>
    <w:p>
      <w:pPr>
        <w:spacing w:line="360" w:lineRule="auto"/>
        <w:jc w:val="center"/>
        <w:rPr>
          <w:rFonts w:ascii="Times New Roman" w:hAnsi="Times New Roman" w:eastAsia="方正仿宋简体"/>
          <w:color w:val="000000" w:themeColor="text1"/>
          <w:sz w:val="32"/>
          <w:szCs w:val="32"/>
          <w14:textFill>
            <w14:solidFill>
              <w14:schemeClr w14:val="tx1"/>
            </w14:solidFill>
          </w14:textFill>
        </w:rPr>
        <w:sectPr>
          <w:pgSz w:w="16838" w:h="11906" w:orient="landscape"/>
          <w:pgMar w:top="720" w:right="720" w:bottom="720" w:left="720" w:header="851" w:footer="992" w:gutter="0"/>
          <w:cols w:space="425" w:num="1"/>
          <w:docGrid w:type="lines" w:linePitch="312" w:charSpace="0"/>
        </w:sectPr>
      </w:pPr>
      <w:r>
        <w:rPr>
          <w:rFonts w:ascii="Times New Roman" w:hAnsi="Times New Roman" w:eastAsia="方正仿宋简体"/>
          <w:color w:val="000000" w:themeColor="text1"/>
          <w:sz w:val="32"/>
          <w:szCs w:val="32"/>
          <w14:textFill>
            <w14:solidFill>
              <w14:schemeClr w14:val="tx1"/>
            </w14:solidFill>
          </w14:textFill>
        </w:rPr>
        <w:t xml:space="preserve"> </w:t>
      </w:r>
    </w:p>
    <w:p>
      <w:pPr>
        <w:jc w:val="center"/>
        <w:rPr>
          <w:rFonts w:ascii="Times New Roman" w:hAnsi="Times New Roman" w:eastAsiaTheme="minorEastAsia"/>
          <w:color w:val="000000" w:themeColor="text1"/>
          <w:szCs w:val="24"/>
          <w14:textFill>
            <w14:solidFill>
              <w14:schemeClr w14:val="tx1"/>
            </w14:solidFill>
          </w14:textFill>
        </w:rPr>
        <w:sectPr>
          <w:footerReference r:id="rId11" w:type="default"/>
          <w:pgSz w:w="16838" w:h="11906" w:orient="landscape"/>
          <w:pgMar w:top="720" w:right="720" w:bottom="720" w:left="720" w:header="851" w:footer="992" w:gutter="0"/>
          <w:cols w:space="425" w:num="1"/>
          <w:docGrid w:type="lines" w:linePitch="312" w:charSpace="0"/>
        </w:sectPr>
      </w:pPr>
      <w:r>
        <w:rPr>
          <w:rFonts w:ascii="Times New Roman" w:hAnsi="Times New Roman" w:eastAsiaTheme="minorEastAsia"/>
        </w:rPr>
        <w:drawing>
          <wp:inline distT="0" distB="0" distL="0" distR="0">
            <wp:extent cx="8568055" cy="5889625"/>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tretch>
                      <a:fillRect/>
                    </a:stretch>
                  </pic:blipFill>
                  <pic:spPr>
                    <a:xfrm>
                      <a:off x="0" y="0"/>
                      <a:ext cx="8582748" cy="5899645"/>
                    </a:xfrm>
                    <a:prstGeom prst="rect">
                      <a:avLst/>
                    </a:prstGeom>
                  </pic:spPr>
                </pic:pic>
              </a:graphicData>
            </a:graphic>
          </wp:inline>
        </w:drawing>
      </w:r>
    </w:p>
    <w:p>
      <w:pPr>
        <w:jc w:val="center"/>
        <w:rPr>
          <w:rFonts w:ascii="Times New Roman" w:hAnsi="Times New Roman" w:eastAsiaTheme="minorEastAsia"/>
          <w:color w:val="000000" w:themeColor="text1"/>
          <w14:textFill>
            <w14:solidFill>
              <w14:schemeClr w14:val="tx1"/>
            </w14:solidFill>
          </w14:textFill>
        </w:rPr>
        <w:sectPr>
          <w:footerReference r:id="rId12" w:type="default"/>
          <w:pgSz w:w="11906" w:h="16838"/>
          <w:pgMar w:top="720" w:right="720" w:bottom="720" w:left="720" w:header="851" w:footer="992" w:gutter="0"/>
          <w:cols w:space="425" w:num="1"/>
          <w:docGrid w:type="lines" w:linePitch="312" w:charSpace="0"/>
        </w:sectPr>
      </w:pPr>
      <w:r>
        <w:rPr>
          <w:rFonts w:ascii="Times New Roman" w:hAnsi="Times New Roman" w:eastAsiaTheme="minorEastAsia"/>
        </w:rPr>
        <w:drawing>
          <wp:inline distT="0" distB="0" distL="0" distR="0">
            <wp:extent cx="6173470" cy="8614410"/>
            <wp:effectExtent l="0" t="0" r="0" b="0"/>
            <wp:docPr id="22"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jpeg"/>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74000" cy="8614800"/>
                    </a:xfrm>
                    <a:prstGeom prst="rect">
                      <a:avLst/>
                    </a:prstGeom>
                  </pic:spPr>
                </pic:pic>
              </a:graphicData>
            </a:graphic>
          </wp:inline>
        </w:drawing>
      </w:r>
      <w:r>
        <w:rPr>
          <w:rFonts w:ascii="Times New Roman" w:hAnsi="Times New Roman" w:eastAsiaTheme="minorEastAsia"/>
          <w:sz w:val="20"/>
        </w:rPr>
        <w:drawing>
          <wp:inline distT="0" distB="0" distL="0" distR="0">
            <wp:extent cx="6165850" cy="8963025"/>
            <wp:effectExtent l="0" t="0" r="6350" b="0"/>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2.jpeg"/>
                    <pic:cNvPicPr>
                      <a:picLocks noChangeAspect="1"/>
                    </pic:cNvPicPr>
                  </pic:nvPicPr>
                  <pic:blipFill>
                    <a:blip r:embed="rId34" cstate="print"/>
                    <a:stretch>
                      <a:fillRect/>
                    </a:stretch>
                  </pic:blipFill>
                  <pic:spPr>
                    <a:xfrm>
                      <a:off x="0" y="0"/>
                      <a:ext cx="6171549" cy="8970888"/>
                    </a:xfrm>
                    <a:prstGeom prst="rect">
                      <a:avLst/>
                    </a:prstGeom>
                  </pic:spPr>
                </pic:pic>
              </a:graphicData>
            </a:graphic>
          </wp:inline>
        </w:drawing>
      </w:r>
    </w:p>
    <w:p>
      <w:pPr>
        <w:jc w:val="center"/>
        <w:rPr>
          <w:rFonts w:ascii="Times New Roman" w:hAnsi="Times New Roman" w:eastAsiaTheme="minorEastAsia"/>
          <w:color w:val="000000" w:themeColor="text1"/>
          <w:szCs w:val="24"/>
          <w14:textFill>
            <w14:solidFill>
              <w14:schemeClr w14:val="tx1"/>
            </w14:solidFill>
          </w14:textFill>
        </w:rPr>
        <w:sectPr>
          <w:footerReference r:id="rId13" w:type="default"/>
          <w:pgSz w:w="16838" w:h="11906" w:orient="landscape"/>
          <w:pgMar w:top="720" w:right="720" w:bottom="720" w:left="720" w:header="851" w:footer="992" w:gutter="0"/>
          <w:cols w:space="425" w:num="1"/>
          <w:docGrid w:type="lines" w:linePitch="312" w:charSpace="0"/>
        </w:sectPr>
      </w:pPr>
      <w:bookmarkStart w:id="475" w:name="_GoBack"/>
      <w:r>
        <w:rPr>
          <w:rFonts w:ascii="Times New Roman" w:hAnsi="Times New Roman" w:eastAsiaTheme="minorEastAsia"/>
        </w:rPr>
        <w:drawing>
          <wp:inline distT="0" distB="0" distL="0" distR="0">
            <wp:extent cx="8462010" cy="5903595"/>
            <wp:effectExtent l="0" t="0" r="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a:stretch>
                      <a:fillRect/>
                    </a:stretch>
                  </pic:blipFill>
                  <pic:spPr>
                    <a:xfrm>
                      <a:off x="0" y="0"/>
                      <a:ext cx="8464267" cy="5905394"/>
                    </a:xfrm>
                    <a:prstGeom prst="rect">
                      <a:avLst/>
                    </a:prstGeom>
                  </pic:spPr>
                </pic:pic>
              </a:graphicData>
            </a:graphic>
          </wp:inline>
        </w:drawing>
      </w:r>
      <w:bookmarkEnd w:id="475"/>
    </w:p>
    <w:p>
      <w:pPr>
        <w:jc w:val="center"/>
        <w:rPr>
          <w:rFonts w:ascii="Times New Roman" w:hAnsi="Times New Roman" w:eastAsiaTheme="minorEastAsia"/>
          <w:color w:val="000000" w:themeColor="text1"/>
          <w:szCs w:val="24"/>
          <w14:textFill>
            <w14:solidFill>
              <w14:schemeClr w14:val="tx1"/>
            </w14:solidFill>
          </w14:textFill>
        </w:rPr>
        <w:sectPr>
          <w:footerReference r:id="rId14" w:type="default"/>
          <w:pgSz w:w="16838" w:h="11906" w:orient="landscape"/>
          <w:pgMar w:top="720" w:right="720" w:bottom="720" w:left="720" w:header="851" w:footer="992" w:gutter="0"/>
          <w:cols w:space="425" w:num="1"/>
          <w:docGrid w:type="lines" w:linePitch="312" w:charSpace="0"/>
        </w:sectPr>
      </w:pPr>
      <w:r>
        <w:rPr>
          <w:rFonts w:ascii="Times New Roman" w:hAnsi="Times New Roman" w:eastAsiaTheme="minorEastAsia"/>
          <w:color w:val="000000" w:themeColor="text1"/>
          <w:szCs w:val="24"/>
          <w14:textFill>
            <w14:solidFill>
              <w14:schemeClr w14:val="tx1"/>
            </w14:solidFill>
          </w14:textFill>
        </w:rPr>
        <w:drawing>
          <wp:inline distT="0" distB="0" distL="0" distR="0">
            <wp:extent cx="8319770" cy="5881370"/>
            <wp:effectExtent l="0" t="0" r="5080" b="5080"/>
            <wp:docPr id="29" name="图片 29" descr="I:\规划环评\养殖污染防治规划报告\太白湖区畜禽养殖防治规划\禁养区范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规划环评\养殖污染防治规划报告\太白湖区畜禽养殖防治规划\禁养区范围.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319770" cy="5881370"/>
                    </a:xfrm>
                    <a:prstGeom prst="rect">
                      <a:avLst/>
                    </a:prstGeom>
                    <a:noFill/>
                    <a:ln>
                      <a:noFill/>
                    </a:ln>
                  </pic:spPr>
                </pic:pic>
              </a:graphicData>
            </a:graphic>
          </wp:inline>
        </w:drawing>
      </w:r>
    </w:p>
    <w:p>
      <w:pPr>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rPr>
        <w:drawing>
          <wp:inline distT="0" distB="0" distL="0" distR="0">
            <wp:extent cx="6423025" cy="5977890"/>
            <wp:effectExtent l="0" t="0" r="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6427730" cy="5982104"/>
                    </a:xfrm>
                    <a:prstGeom prst="rect">
                      <a:avLst/>
                    </a:prstGeom>
                  </pic:spPr>
                </pic:pic>
              </a:graphicData>
            </a:graphic>
          </wp:inline>
        </w:drawing>
      </w:r>
    </w:p>
    <w:sectPr>
      <w:footerReference r:id="rId15" w:type="default"/>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楷体简体">
    <w:panose1 w:val="02010601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方正粗黑宋简体">
    <w:altName w:val="宋体"/>
    <w:panose1 w:val="02000000000000000000"/>
    <w:charset w:val="86"/>
    <w:family w:val="auto"/>
    <w:pitch w:val="default"/>
    <w:sig w:usb0="00000000" w:usb1="00000000" w:usb2="00000012" w:usb3="00000000" w:csb0="00040001" w:csb1="00000000"/>
  </w:font>
  <w:font w:name="方正小标宋简体">
    <w:panose1 w:val="00000600000000000000"/>
    <w:charset w:val="86"/>
    <w:family w:val="auto"/>
    <w:pitch w:val="default"/>
    <w:sig w:usb0="800002BF" w:usb1="184F6CF8" w:usb2="00000012" w:usb3="00000000" w:csb0="00160001" w:csb1="12030000"/>
  </w:font>
  <w:font w:name="方正仿宋简体">
    <w:panose1 w:val="02000000000000000000"/>
    <w:charset w:val="86"/>
    <w:family w:val="auto"/>
    <w:pitch w:val="default"/>
    <w:sig w:usb0="00000001" w:usb1="08000000" w:usb2="00000000" w:usb3="00000000" w:csb0="00040000" w:csb1="00000000"/>
  </w:font>
  <w:font w:name="方正黑体简体">
    <w:altName w:val="微软雅黑"/>
    <w:panose1 w:val="02010601030101010101"/>
    <w:charset w:val="86"/>
    <w:family w:val="auto"/>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roman"/>
    <w:pitch w:val="default"/>
    <w:sig w:usb0="00000000" w:usb1="00000000" w:usb2="00000010" w:usb3="00000000" w:csb0="0002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3216437"/>
      <w:docPartObj>
        <w:docPartGallery w:val="autotext"/>
      </w:docPartObj>
    </w:sdtPr>
    <w:sdtContent>
      <w:p>
        <w:pPr>
          <w:pStyle w:val="17"/>
          <w:jc w:val="center"/>
        </w:pPr>
        <w:r>
          <w:fldChar w:fldCharType="begin"/>
        </w:r>
        <w:r>
          <w:instrText xml:space="preserve">PAGE   \* MERGEFORMAT</w:instrText>
        </w:r>
        <w:r>
          <w:fldChar w:fldCharType="separate"/>
        </w:r>
        <w:r>
          <w:rPr>
            <w:lang w:val="zh-CN"/>
          </w:rPr>
          <w:t>III</w:t>
        </w:r>
        <w:r>
          <w:fldChar w:fldCharType="end"/>
        </w:r>
      </w:p>
    </w:sdtContent>
  </w:sdt>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86</w:t>
    </w:r>
    <w:r>
      <w:rPr>
        <w:rFonts w:ascii="Times New Roman" w:hAnsi="Times New Roman"/>
      </w:rPr>
      <w:fldChar w:fldCharType="end"/>
    </w:r>
  </w:p>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rFonts w:ascii="黑体" w:hAnsi="黑体" w:eastAsia="黑体"/>
        <w:sz w:val="24"/>
        <w:szCs w:val="24"/>
      </w:rPr>
      <w:t>附图</w:t>
    </w:r>
    <w:r>
      <w:rPr>
        <w:rFonts w:hint="eastAsia" w:ascii="黑体" w:hAnsi="黑体" w:eastAsia="黑体"/>
        <w:sz w:val="24"/>
        <w:szCs w:val="24"/>
      </w:rPr>
      <w:t>1</w:t>
    </w:r>
    <w:r>
      <w:rPr>
        <w:rFonts w:ascii="黑体" w:hAnsi="黑体" w:eastAsia="黑体"/>
        <w:sz w:val="24"/>
        <w:szCs w:val="24"/>
      </w:rPr>
      <w:t>：</w:t>
    </w:r>
    <w:r>
      <w:rPr>
        <w:rFonts w:hint="eastAsia" w:ascii="黑体" w:hAnsi="黑体" w:eastAsia="黑体"/>
        <w:sz w:val="24"/>
        <w:szCs w:val="24"/>
      </w:rPr>
      <w:t>行政</w:t>
    </w:r>
    <w:r>
      <w:rPr>
        <w:rFonts w:ascii="黑体" w:hAnsi="黑体" w:eastAsia="黑体"/>
        <w:sz w:val="24"/>
        <w:szCs w:val="24"/>
      </w:rPr>
      <w:t>区划图</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rFonts w:ascii="黑体" w:hAnsi="黑体" w:eastAsia="黑体"/>
        <w:sz w:val="24"/>
        <w:szCs w:val="24"/>
      </w:rPr>
      <w:t>附图2：水功能区划图</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黑体" w:hAnsi="黑体" w:eastAsia="黑体"/>
        <w:sz w:val="24"/>
        <w:szCs w:val="24"/>
      </w:rPr>
    </w:pPr>
    <w:r>
      <w:rPr>
        <w:rFonts w:ascii="黑体" w:hAnsi="黑体" w:eastAsia="黑体"/>
        <w:sz w:val="24"/>
        <w:szCs w:val="24"/>
      </w:rPr>
      <w:t>附图3  畜禽规模养殖场分布图</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rFonts w:ascii="黑体" w:hAnsi="黑体" w:eastAsia="黑体"/>
        <w:sz w:val="24"/>
        <w:szCs w:val="24"/>
      </w:rPr>
      <w:t>附图4：禁养区分布图</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rFonts w:ascii="黑体" w:hAnsi="黑体" w:eastAsia="黑体"/>
        <w:sz w:val="24"/>
        <w:szCs w:val="24"/>
      </w:rPr>
      <w:t>附图5：耕地、园地、林地、草地分布图</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方正仿宋简体" w:eastAsia="方正仿宋简体"/>
        <w:sz w:val="21"/>
        <w:szCs w:val="21"/>
      </w:rPr>
    </w:pPr>
  </w:p>
  <w:p>
    <w:pPr>
      <w:pStyle w:val="18"/>
      <w:rPr>
        <w:rFonts w:ascii="方正仿宋简体" w:eastAsia="方正仿宋简体"/>
        <w:sz w:val="21"/>
        <w:szCs w:val="21"/>
      </w:rPr>
    </w:pPr>
  </w:p>
  <w:p>
    <w:pPr>
      <w:pStyle w:val="18"/>
      <w:rPr>
        <w:rFonts w:ascii="方正仿宋简体" w:eastAsia="方正仿宋简体"/>
        <w:sz w:val="21"/>
        <w:szCs w:val="21"/>
      </w:rPr>
    </w:pPr>
    <w:r>
      <w:rPr>
        <w:rFonts w:hint="eastAsia" w:ascii="方正仿宋简体" w:eastAsia="方正仿宋简体"/>
        <w:sz w:val="21"/>
        <w:szCs w:val="21"/>
      </w:rPr>
      <w:t>济宁太白湖新区畜禽养殖污染防治规划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方正仿宋简体" w:hAnsi="宋体" w:eastAsia="方正仿宋简体"/>
        <w:szCs w:val="21"/>
        <w:u w:val="single"/>
      </w:rPr>
    </w:pPr>
  </w:p>
  <w:p>
    <w:pPr>
      <w:rPr>
        <w:rFonts w:ascii="方正仿宋简体" w:hAnsi="宋体" w:eastAsia="方正仿宋简体"/>
        <w:szCs w:val="21"/>
        <w:u w:val="single"/>
      </w:rPr>
    </w:pPr>
  </w:p>
  <w:p>
    <w:pPr>
      <w:rPr>
        <w:rFonts w:ascii="方正仿宋简体" w:hAnsi="宋体" w:eastAsia="方正仿宋简体"/>
        <w:szCs w:val="21"/>
        <w:u w:val="single"/>
      </w:rPr>
    </w:pPr>
    <w:r>
      <w:rPr>
        <w:rFonts w:hint="eastAsia" w:ascii="方正仿宋简体" w:hAnsi="宋体" w:eastAsia="方正仿宋简体"/>
        <w:szCs w:val="21"/>
        <w:u w:val="single"/>
      </w:rPr>
      <w:t xml:space="preserve">                            济宁太白湖新区畜禽养殖污染防治规划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方正仿宋简体" w:hAnsi="宋体" w:eastAsia="方正仿宋简体"/>
        <w:szCs w:val="21"/>
        <w:u w:val="single"/>
      </w:rPr>
    </w:pPr>
  </w:p>
  <w:p>
    <w:pPr>
      <w:rPr>
        <w:rFonts w:ascii="方正仿宋简体" w:hAnsi="宋体" w:eastAsia="方正仿宋简体"/>
        <w:szCs w:val="21"/>
        <w:u w:val="single"/>
      </w:rPr>
    </w:pPr>
  </w:p>
  <w:p>
    <w:pPr>
      <w:rPr>
        <w:rFonts w:ascii="方正仿宋简体" w:hAnsi="宋体" w:eastAsia="方正仿宋简体"/>
        <w:szCs w:val="21"/>
        <w:u w:val="single"/>
      </w:rPr>
    </w:pPr>
    <w:r>
      <w:rPr>
        <w:rFonts w:hint="eastAsia" w:ascii="方正仿宋简体" w:hAnsi="宋体" w:eastAsia="方正仿宋简体"/>
        <w:szCs w:val="21"/>
        <w:u w:val="single"/>
      </w:rPr>
      <w:t xml:space="preserve">                         济宁太白湖新区畜禽养殖污染防治规划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Y2MTQ5ZGMxZjc3OWM1ODQzMzM4ZjNiOWQ1ZDU2OGEifQ=="/>
  </w:docVars>
  <w:rsids>
    <w:rsidRoot w:val="00CB5C67"/>
    <w:rsid w:val="00000B89"/>
    <w:rsid w:val="00001C39"/>
    <w:rsid w:val="00002A18"/>
    <w:rsid w:val="000057E3"/>
    <w:rsid w:val="000059F1"/>
    <w:rsid w:val="00005C7A"/>
    <w:rsid w:val="00006CE5"/>
    <w:rsid w:val="0000715D"/>
    <w:rsid w:val="0001017F"/>
    <w:rsid w:val="00010E3F"/>
    <w:rsid w:val="00011AA6"/>
    <w:rsid w:val="000127F2"/>
    <w:rsid w:val="00013234"/>
    <w:rsid w:val="000137B5"/>
    <w:rsid w:val="0001382D"/>
    <w:rsid w:val="00014733"/>
    <w:rsid w:val="000159DF"/>
    <w:rsid w:val="00020474"/>
    <w:rsid w:val="000206FF"/>
    <w:rsid w:val="00023035"/>
    <w:rsid w:val="00023226"/>
    <w:rsid w:val="0002497F"/>
    <w:rsid w:val="00026922"/>
    <w:rsid w:val="0002724B"/>
    <w:rsid w:val="00027FBD"/>
    <w:rsid w:val="00031FCC"/>
    <w:rsid w:val="00032C92"/>
    <w:rsid w:val="0003396A"/>
    <w:rsid w:val="00034D54"/>
    <w:rsid w:val="000357A0"/>
    <w:rsid w:val="00041E36"/>
    <w:rsid w:val="00042469"/>
    <w:rsid w:val="00043FB6"/>
    <w:rsid w:val="0004490E"/>
    <w:rsid w:val="00046CE9"/>
    <w:rsid w:val="00047F96"/>
    <w:rsid w:val="000521F9"/>
    <w:rsid w:val="000547CA"/>
    <w:rsid w:val="00054C71"/>
    <w:rsid w:val="000556F9"/>
    <w:rsid w:val="0005784F"/>
    <w:rsid w:val="00057B37"/>
    <w:rsid w:val="00060B0C"/>
    <w:rsid w:val="00061971"/>
    <w:rsid w:val="000625D3"/>
    <w:rsid w:val="000632A1"/>
    <w:rsid w:val="00063710"/>
    <w:rsid w:val="00063D1C"/>
    <w:rsid w:val="000644BC"/>
    <w:rsid w:val="00064BD7"/>
    <w:rsid w:val="00066D22"/>
    <w:rsid w:val="00067DB0"/>
    <w:rsid w:val="00071FBD"/>
    <w:rsid w:val="00073806"/>
    <w:rsid w:val="000805F8"/>
    <w:rsid w:val="00080DD5"/>
    <w:rsid w:val="000832A1"/>
    <w:rsid w:val="000836DF"/>
    <w:rsid w:val="000841BB"/>
    <w:rsid w:val="00084B64"/>
    <w:rsid w:val="0008512E"/>
    <w:rsid w:val="00086AB0"/>
    <w:rsid w:val="00087AF6"/>
    <w:rsid w:val="00090567"/>
    <w:rsid w:val="00090C83"/>
    <w:rsid w:val="0009268E"/>
    <w:rsid w:val="000926C8"/>
    <w:rsid w:val="00093A77"/>
    <w:rsid w:val="00094041"/>
    <w:rsid w:val="00094352"/>
    <w:rsid w:val="00095626"/>
    <w:rsid w:val="00096DAB"/>
    <w:rsid w:val="000A0E20"/>
    <w:rsid w:val="000A14E5"/>
    <w:rsid w:val="000A1585"/>
    <w:rsid w:val="000A3A98"/>
    <w:rsid w:val="000A4139"/>
    <w:rsid w:val="000A70FA"/>
    <w:rsid w:val="000A7170"/>
    <w:rsid w:val="000B00C2"/>
    <w:rsid w:val="000B1C2C"/>
    <w:rsid w:val="000B533E"/>
    <w:rsid w:val="000B56CA"/>
    <w:rsid w:val="000B681C"/>
    <w:rsid w:val="000B6EFA"/>
    <w:rsid w:val="000B7401"/>
    <w:rsid w:val="000C008E"/>
    <w:rsid w:val="000C0DDE"/>
    <w:rsid w:val="000C1C18"/>
    <w:rsid w:val="000C1F3D"/>
    <w:rsid w:val="000C37CE"/>
    <w:rsid w:val="000C4174"/>
    <w:rsid w:val="000C662E"/>
    <w:rsid w:val="000D039F"/>
    <w:rsid w:val="000D399E"/>
    <w:rsid w:val="000D42ED"/>
    <w:rsid w:val="000E16E3"/>
    <w:rsid w:val="000E241B"/>
    <w:rsid w:val="000E257A"/>
    <w:rsid w:val="000E35A1"/>
    <w:rsid w:val="000E3667"/>
    <w:rsid w:val="000E3D8F"/>
    <w:rsid w:val="000E414F"/>
    <w:rsid w:val="000E52DE"/>
    <w:rsid w:val="000E5444"/>
    <w:rsid w:val="000E554B"/>
    <w:rsid w:val="000E629D"/>
    <w:rsid w:val="000E62CD"/>
    <w:rsid w:val="000E744E"/>
    <w:rsid w:val="000E7BD4"/>
    <w:rsid w:val="000F275F"/>
    <w:rsid w:val="000F3AA3"/>
    <w:rsid w:val="000F40BD"/>
    <w:rsid w:val="000F5102"/>
    <w:rsid w:val="000F6C97"/>
    <w:rsid w:val="000F74B7"/>
    <w:rsid w:val="000F7BF8"/>
    <w:rsid w:val="000F7C51"/>
    <w:rsid w:val="0010283E"/>
    <w:rsid w:val="00104F2E"/>
    <w:rsid w:val="00105460"/>
    <w:rsid w:val="00105856"/>
    <w:rsid w:val="0011042F"/>
    <w:rsid w:val="0011043B"/>
    <w:rsid w:val="00111E3D"/>
    <w:rsid w:val="001124B6"/>
    <w:rsid w:val="00113BA6"/>
    <w:rsid w:val="00113FA0"/>
    <w:rsid w:val="0011440E"/>
    <w:rsid w:val="00115D56"/>
    <w:rsid w:val="0011728A"/>
    <w:rsid w:val="00120499"/>
    <w:rsid w:val="00122482"/>
    <w:rsid w:val="00122AF2"/>
    <w:rsid w:val="00126275"/>
    <w:rsid w:val="0012699C"/>
    <w:rsid w:val="00130BBD"/>
    <w:rsid w:val="001314F1"/>
    <w:rsid w:val="001340D4"/>
    <w:rsid w:val="00136215"/>
    <w:rsid w:val="001363A0"/>
    <w:rsid w:val="001407D9"/>
    <w:rsid w:val="00141005"/>
    <w:rsid w:val="0014204B"/>
    <w:rsid w:val="001421FF"/>
    <w:rsid w:val="001427F6"/>
    <w:rsid w:val="001429B7"/>
    <w:rsid w:val="001432B2"/>
    <w:rsid w:val="00144782"/>
    <w:rsid w:val="00144B54"/>
    <w:rsid w:val="001454DE"/>
    <w:rsid w:val="0014732D"/>
    <w:rsid w:val="00147C67"/>
    <w:rsid w:val="00147DBD"/>
    <w:rsid w:val="00150E92"/>
    <w:rsid w:val="00151285"/>
    <w:rsid w:val="00151617"/>
    <w:rsid w:val="00153FC4"/>
    <w:rsid w:val="00154546"/>
    <w:rsid w:val="00156922"/>
    <w:rsid w:val="001601F0"/>
    <w:rsid w:val="001606F8"/>
    <w:rsid w:val="001611C6"/>
    <w:rsid w:val="001616AF"/>
    <w:rsid w:val="001619CC"/>
    <w:rsid w:val="00161A44"/>
    <w:rsid w:val="001634C8"/>
    <w:rsid w:val="00163B21"/>
    <w:rsid w:val="00165E7D"/>
    <w:rsid w:val="00167F7D"/>
    <w:rsid w:val="00170665"/>
    <w:rsid w:val="00170999"/>
    <w:rsid w:val="00171682"/>
    <w:rsid w:val="001719F3"/>
    <w:rsid w:val="0017238C"/>
    <w:rsid w:val="001732F0"/>
    <w:rsid w:val="00173830"/>
    <w:rsid w:val="00173E45"/>
    <w:rsid w:val="00175E9B"/>
    <w:rsid w:val="00176BE9"/>
    <w:rsid w:val="00182345"/>
    <w:rsid w:val="001826D1"/>
    <w:rsid w:val="00183531"/>
    <w:rsid w:val="001863C6"/>
    <w:rsid w:val="00191702"/>
    <w:rsid w:val="00191D9D"/>
    <w:rsid w:val="00191E85"/>
    <w:rsid w:val="00191EC0"/>
    <w:rsid w:val="00192404"/>
    <w:rsid w:val="0019308E"/>
    <w:rsid w:val="0019362A"/>
    <w:rsid w:val="00193A2A"/>
    <w:rsid w:val="001974B6"/>
    <w:rsid w:val="001A11B1"/>
    <w:rsid w:val="001A1D0B"/>
    <w:rsid w:val="001A403B"/>
    <w:rsid w:val="001A4EE8"/>
    <w:rsid w:val="001A7E5B"/>
    <w:rsid w:val="001B0B5D"/>
    <w:rsid w:val="001B221D"/>
    <w:rsid w:val="001B234B"/>
    <w:rsid w:val="001B5231"/>
    <w:rsid w:val="001B58B7"/>
    <w:rsid w:val="001B7E2F"/>
    <w:rsid w:val="001C1091"/>
    <w:rsid w:val="001C1486"/>
    <w:rsid w:val="001C3450"/>
    <w:rsid w:val="001C39F5"/>
    <w:rsid w:val="001C3A91"/>
    <w:rsid w:val="001C6ED0"/>
    <w:rsid w:val="001C7263"/>
    <w:rsid w:val="001C7EAD"/>
    <w:rsid w:val="001D4496"/>
    <w:rsid w:val="001D5AB6"/>
    <w:rsid w:val="001D7522"/>
    <w:rsid w:val="001E1AA9"/>
    <w:rsid w:val="001E5D52"/>
    <w:rsid w:val="001E5FBA"/>
    <w:rsid w:val="001F0BCB"/>
    <w:rsid w:val="001F225B"/>
    <w:rsid w:val="001F2CCF"/>
    <w:rsid w:val="001F3D50"/>
    <w:rsid w:val="001F5DC3"/>
    <w:rsid w:val="001F7D53"/>
    <w:rsid w:val="00201959"/>
    <w:rsid w:val="00201B63"/>
    <w:rsid w:val="002048C0"/>
    <w:rsid w:val="00204922"/>
    <w:rsid w:val="002077D4"/>
    <w:rsid w:val="0020788F"/>
    <w:rsid w:val="002116B8"/>
    <w:rsid w:val="00211A1C"/>
    <w:rsid w:val="00212F43"/>
    <w:rsid w:val="00212F97"/>
    <w:rsid w:val="002140BB"/>
    <w:rsid w:val="00215BF6"/>
    <w:rsid w:val="00215F7C"/>
    <w:rsid w:val="002202D3"/>
    <w:rsid w:val="00223095"/>
    <w:rsid w:val="00224CAF"/>
    <w:rsid w:val="0022558E"/>
    <w:rsid w:val="002259AD"/>
    <w:rsid w:val="002274EE"/>
    <w:rsid w:val="00227C66"/>
    <w:rsid w:val="00230C30"/>
    <w:rsid w:val="002317E3"/>
    <w:rsid w:val="002322AD"/>
    <w:rsid w:val="00232A2B"/>
    <w:rsid w:val="00240075"/>
    <w:rsid w:val="0024016D"/>
    <w:rsid w:val="0024070C"/>
    <w:rsid w:val="00241578"/>
    <w:rsid w:val="00242E75"/>
    <w:rsid w:val="00243445"/>
    <w:rsid w:val="00244333"/>
    <w:rsid w:val="00245720"/>
    <w:rsid w:val="0024581D"/>
    <w:rsid w:val="0024631C"/>
    <w:rsid w:val="002477BB"/>
    <w:rsid w:val="0024780F"/>
    <w:rsid w:val="0025082B"/>
    <w:rsid w:val="00251FA3"/>
    <w:rsid w:val="00254D9D"/>
    <w:rsid w:val="00255587"/>
    <w:rsid w:val="002563C9"/>
    <w:rsid w:val="002565ED"/>
    <w:rsid w:val="00256686"/>
    <w:rsid w:val="0025719F"/>
    <w:rsid w:val="00257ABB"/>
    <w:rsid w:val="002605BA"/>
    <w:rsid w:val="00261CE2"/>
    <w:rsid w:val="002627B8"/>
    <w:rsid w:val="002627DA"/>
    <w:rsid w:val="00262D6E"/>
    <w:rsid w:val="00263BA6"/>
    <w:rsid w:val="00266486"/>
    <w:rsid w:val="00266A98"/>
    <w:rsid w:val="00267BAE"/>
    <w:rsid w:val="002712C1"/>
    <w:rsid w:val="00272635"/>
    <w:rsid w:val="00274144"/>
    <w:rsid w:val="00277854"/>
    <w:rsid w:val="00281DC7"/>
    <w:rsid w:val="00282122"/>
    <w:rsid w:val="00282A81"/>
    <w:rsid w:val="00282C10"/>
    <w:rsid w:val="00284FE7"/>
    <w:rsid w:val="00285C78"/>
    <w:rsid w:val="002918AA"/>
    <w:rsid w:val="002A4D13"/>
    <w:rsid w:val="002A6281"/>
    <w:rsid w:val="002A78E9"/>
    <w:rsid w:val="002B0D21"/>
    <w:rsid w:val="002B1469"/>
    <w:rsid w:val="002B1E65"/>
    <w:rsid w:val="002B33F6"/>
    <w:rsid w:val="002B50A6"/>
    <w:rsid w:val="002B5199"/>
    <w:rsid w:val="002C1A52"/>
    <w:rsid w:val="002C217E"/>
    <w:rsid w:val="002C23FF"/>
    <w:rsid w:val="002C268C"/>
    <w:rsid w:val="002C26C3"/>
    <w:rsid w:val="002C2DC0"/>
    <w:rsid w:val="002C300F"/>
    <w:rsid w:val="002C46D8"/>
    <w:rsid w:val="002C4C0E"/>
    <w:rsid w:val="002C5FB7"/>
    <w:rsid w:val="002C71DE"/>
    <w:rsid w:val="002C7C12"/>
    <w:rsid w:val="002D18C6"/>
    <w:rsid w:val="002D46E1"/>
    <w:rsid w:val="002E131A"/>
    <w:rsid w:val="002E2CAA"/>
    <w:rsid w:val="002E3931"/>
    <w:rsid w:val="002E3F31"/>
    <w:rsid w:val="002E5A60"/>
    <w:rsid w:val="002E7AAA"/>
    <w:rsid w:val="002F4BBF"/>
    <w:rsid w:val="002F5F3F"/>
    <w:rsid w:val="002F7EC3"/>
    <w:rsid w:val="002F7ED4"/>
    <w:rsid w:val="00302234"/>
    <w:rsid w:val="00305382"/>
    <w:rsid w:val="00306C22"/>
    <w:rsid w:val="00306E71"/>
    <w:rsid w:val="003070DD"/>
    <w:rsid w:val="0030756F"/>
    <w:rsid w:val="00312494"/>
    <w:rsid w:val="00312A6D"/>
    <w:rsid w:val="003135B1"/>
    <w:rsid w:val="00313F82"/>
    <w:rsid w:val="00315BD7"/>
    <w:rsid w:val="003204B9"/>
    <w:rsid w:val="003214E2"/>
    <w:rsid w:val="00322237"/>
    <w:rsid w:val="00322ED7"/>
    <w:rsid w:val="00324BA8"/>
    <w:rsid w:val="00324DA6"/>
    <w:rsid w:val="00324E70"/>
    <w:rsid w:val="00325994"/>
    <w:rsid w:val="003266F7"/>
    <w:rsid w:val="00326F1E"/>
    <w:rsid w:val="00326F7D"/>
    <w:rsid w:val="0033659D"/>
    <w:rsid w:val="003402A3"/>
    <w:rsid w:val="003435F7"/>
    <w:rsid w:val="00344DDA"/>
    <w:rsid w:val="003456CA"/>
    <w:rsid w:val="0034644F"/>
    <w:rsid w:val="0034686F"/>
    <w:rsid w:val="00351438"/>
    <w:rsid w:val="00351AB9"/>
    <w:rsid w:val="0035309E"/>
    <w:rsid w:val="00353735"/>
    <w:rsid w:val="00354601"/>
    <w:rsid w:val="00355C4F"/>
    <w:rsid w:val="00356BC2"/>
    <w:rsid w:val="00357068"/>
    <w:rsid w:val="00357F3A"/>
    <w:rsid w:val="003601F9"/>
    <w:rsid w:val="00362138"/>
    <w:rsid w:val="00363016"/>
    <w:rsid w:val="0036317C"/>
    <w:rsid w:val="00363822"/>
    <w:rsid w:val="00366D3A"/>
    <w:rsid w:val="00366DFE"/>
    <w:rsid w:val="00367F82"/>
    <w:rsid w:val="00371DBE"/>
    <w:rsid w:val="00374335"/>
    <w:rsid w:val="00382C97"/>
    <w:rsid w:val="00384C5A"/>
    <w:rsid w:val="00385197"/>
    <w:rsid w:val="00385F52"/>
    <w:rsid w:val="00387DAC"/>
    <w:rsid w:val="003907C9"/>
    <w:rsid w:val="003908CD"/>
    <w:rsid w:val="00391F19"/>
    <w:rsid w:val="0039325F"/>
    <w:rsid w:val="00394A50"/>
    <w:rsid w:val="00394AFB"/>
    <w:rsid w:val="00397F38"/>
    <w:rsid w:val="003A0253"/>
    <w:rsid w:val="003A09D2"/>
    <w:rsid w:val="003A1729"/>
    <w:rsid w:val="003A1F14"/>
    <w:rsid w:val="003A2147"/>
    <w:rsid w:val="003A498D"/>
    <w:rsid w:val="003A5119"/>
    <w:rsid w:val="003A6F17"/>
    <w:rsid w:val="003B179B"/>
    <w:rsid w:val="003B17D7"/>
    <w:rsid w:val="003B3AEA"/>
    <w:rsid w:val="003B4C65"/>
    <w:rsid w:val="003B5B9D"/>
    <w:rsid w:val="003B69D1"/>
    <w:rsid w:val="003B6D9C"/>
    <w:rsid w:val="003B73E4"/>
    <w:rsid w:val="003B78DF"/>
    <w:rsid w:val="003C13A4"/>
    <w:rsid w:val="003C148C"/>
    <w:rsid w:val="003C1C6F"/>
    <w:rsid w:val="003C2BB5"/>
    <w:rsid w:val="003C54A2"/>
    <w:rsid w:val="003D19BB"/>
    <w:rsid w:val="003D1FE3"/>
    <w:rsid w:val="003D3093"/>
    <w:rsid w:val="003D4236"/>
    <w:rsid w:val="003D6840"/>
    <w:rsid w:val="003D6A35"/>
    <w:rsid w:val="003D7984"/>
    <w:rsid w:val="003D7FFA"/>
    <w:rsid w:val="003E1226"/>
    <w:rsid w:val="003E26E9"/>
    <w:rsid w:val="003E2F1A"/>
    <w:rsid w:val="003E3F96"/>
    <w:rsid w:val="003E40BF"/>
    <w:rsid w:val="003E68E2"/>
    <w:rsid w:val="003F0F82"/>
    <w:rsid w:val="003F1E2D"/>
    <w:rsid w:val="003F4BEF"/>
    <w:rsid w:val="003F57F8"/>
    <w:rsid w:val="003F6DF4"/>
    <w:rsid w:val="003F6EFC"/>
    <w:rsid w:val="003F7660"/>
    <w:rsid w:val="004025E6"/>
    <w:rsid w:val="00403CA2"/>
    <w:rsid w:val="00404B02"/>
    <w:rsid w:val="004054D7"/>
    <w:rsid w:val="004060F6"/>
    <w:rsid w:val="00406E05"/>
    <w:rsid w:val="00407B18"/>
    <w:rsid w:val="00410C0C"/>
    <w:rsid w:val="00410ED9"/>
    <w:rsid w:val="004120AF"/>
    <w:rsid w:val="00413A23"/>
    <w:rsid w:val="004168B2"/>
    <w:rsid w:val="00417578"/>
    <w:rsid w:val="004218A5"/>
    <w:rsid w:val="00421E75"/>
    <w:rsid w:val="00422BFD"/>
    <w:rsid w:val="00423345"/>
    <w:rsid w:val="00423EAF"/>
    <w:rsid w:val="0042533C"/>
    <w:rsid w:val="00426D41"/>
    <w:rsid w:val="004329F4"/>
    <w:rsid w:val="00434FF4"/>
    <w:rsid w:val="00436580"/>
    <w:rsid w:val="00436603"/>
    <w:rsid w:val="004366B9"/>
    <w:rsid w:val="00436936"/>
    <w:rsid w:val="00440192"/>
    <w:rsid w:val="00444792"/>
    <w:rsid w:val="004452A1"/>
    <w:rsid w:val="0044685B"/>
    <w:rsid w:val="0045033F"/>
    <w:rsid w:val="00453ABD"/>
    <w:rsid w:val="00454528"/>
    <w:rsid w:val="00454927"/>
    <w:rsid w:val="0045560D"/>
    <w:rsid w:val="004566EF"/>
    <w:rsid w:val="00460909"/>
    <w:rsid w:val="0046094A"/>
    <w:rsid w:val="00461C1B"/>
    <w:rsid w:val="00463765"/>
    <w:rsid w:val="0046446C"/>
    <w:rsid w:val="0046478D"/>
    <w:rsid w:val="004674A3"/>
    <w:rsid w:val="004676E5"/>
    <w:rsid w:val="00467D2F"/>
    <w:rsid w:val="004700A9"/>
    <w:rsid w:val="0047054E"/>
    <w:rsid w:val="00471148"/>
    <w:rsid w:val="00472AEA"/>
    <w:rsid w:val="004737E2"/>
    <w:rsid w:val="00474657"/>
    <w:rsid w:val="00474772"/>
    <w:rsid w:val="0047597D"/>
    <w:rsid w:val="0047736C"/>
    <w:rsid w:val="0048017A"/>
    <w:rsid w:val="004807DF"/>
    <w:rsid w:val="004809CE"/>
    <w:rsid w:val="00480F09"/>
    <w:rsid w:val="00484CBA"/>
    <w:rsid w:val="00487809"/>
    <w:rsid w:val="00487860"/>
    <w:rsid w:val="00490DEB"/>
    <w:rsid w:val="0049197A"/>
    <w:rsid w:val="00492CD1"/>
    <w:rsid w:val="00492DB9"/>
    <w:rsid w:val="00494F62"/>
    <w:rsid w:val="00494F96"/>
    <w:rsid w:val="0049519B"/>
    <w:rsid w:val="00495F2D"/>
    <w:rsid w:val="004969A1"/>
    <w:rsid w:val="004A165A"/>
    <w:rsid w:val="004A1B9F"/>
    <w:rsid w:val="004A473A"/>
    <w:rsid w:val="004A4DB3"/>
    <w:rsid w:val="004A5352"/>
    <w:rsid w:val="004A6049"/>
    <w:rsid w:val="004A707B"/>
    <w:rsid w:val="004A78C2"/>
    <w:rsid w:val="004B09D7"/>
    <w:rsid w:val="004B2608"/>
    <w:rsid w:val="004B2673"/>
    <w:rsid w:val="004B3262"/>
    <w:rsid w:val="004B344C"/>
    <w:rsid w:val="004B69E1"/>
    <w:rsid w:val="004B79B7"/>
    <w:rsid w:val="004C02F4"/>
    <w:rsid w:val="004C1A13"/>
    <w:rsid w:val="004C2831"/>
    <w:rsid w:val="004C3027"/>
    <w:rsid w:val="004C328D"/>
    <w:rsid w:val="004C4A5A"/>
    <w:rsid w:val="004C51F5"/>
    <w:rsid w:val="004C5B2F"/>
    <w:rsid w:val="004C60EB"/>
    <w:rsid w:val="004C61F9"/>
    <w:rsid w:val="004C6609"/>
    <w:rsid w:val="004C6A12"/>
    <w:rsid w:val="004D0BB8"/>
    <w:rsid w:val="004D0DC9"/>
    <w:rsid w:val="004D1894"/>
    <w:rsid w:val="004D20E2"/>
    <w:rsid w:val="004D216E"/>
    <w:rsid w:val="004D22EA"/>
    <w:rsid w:val="004D2BE2"/>
    <w:rsid w:val="004D2F26"/>
    <w:rsid w:val="004D3EAC"/>
    <w:rsid w:val="004D5219"/>
    <w:rsid w:val="004D5538"/>
    <w:rsid w:val="004D562C"/>
    <w:rsid w:val="004D75F0"/>
    <w:rsid w:val="004E473B"/>
    <w:rsid w:val="004E4F8C"/>
    <w:rsid w:val="004E4FED"/>
    <w:rsid w:val="004E536E"/>
    <w:rsid w:val="004F082A"/>
    <w:rsid w:val="004F0D01"/>
    <w:rsid w:val="004F17FF"/>
    <w:rsid w:val="004F21DB"/>
    <w:rsid w:val="004F2609"/>
    <w:rsid w:val="004F2F19"/>
    <w:rsid w:val="004F7361"/>
    <w:rsid w:val="00500E5D"/>
    <w:rsid w:val="00501809"/>
    <w:rsid w:val="005022BA"/>
    <w:rsid w:val="00502AFC"/>
    <w:rsid w:val="00502B99"/>
    <w:rsid w:val="005072E8"/>
    <w:rsid w:val="005100EE"/>
    <w:rsid w:val="0051054B"/>
    <w:rsid w:val="00511E55"/>
    <w:rsid w:val="00511F0F"/>
    <w:rsid w:val="00517E56"/>
    <w:rsid w:val="005232CD"/>
    <w:rsid w:val="005304B4"/>
    <w:rsid w:val="0053299E"/>
    <w:rsid w:val="00533035"/>
    <w:rsid w:val="0053354A"/>
    <w:rsid w:val="00533E5B"/>
    <w:rsid w:val="005357E3"/>
    <w:rsid w:val="005401A0"/>
    <w:rsid w:val="0054171D"/>
    <w:rsid w:val="005439C8"/>
    <w:rsid w:val="00543DBD"/>
    <w:rsid w:val="00544948"/>
    <w:rsid w:val="00544CC9"/>
    <w:rsid w:val="00544ED6"/>
    <w:rsid w:val="00545067"/>
    <w:rsid w:val="00547076"/>
    <w:rsid w:val="0054737C"/>
    <w:rsid w:val="0055277F"/>
    <w:rsid w:val="005534EF"/>
    <w:rsid w:val="00555774"/>
    <w:rsid w:val="0055656F"/>
    <w:rsid w:val="00556DD3"/>
    <w:rsid w:val="00557132"/>
    <w:rsid w:val="0055717F"/>
    <w:rsid w:val="005605AB"/>
    <w:rsid w:val="00560C06"/>
    <w:rsid w:val="005615CC"/>
    <w:rsid w:val="00561BE8"/>
    <w:rsid w:val="00562179"/>
    <w:rsid w:val="00563BAB"/>
    <w:rsid w:val="00564E15"/>
    <w:rsid w:val="005706BA"/>
    <w:rsid w:val="00570FDC"/>
    <w:rsid w:val="0057385A"/>
    <w:rsid w:val="0057410A"/>
    <w:rsid w:val="005746B7"/>
    <w:rsid w:val="00574C2D"/>
    <w:rsid w:val="00574C83"/>
    <w:rsid w:val="005755B0"/>
    <w:rsid w:val="00581B98"/>
    <w:rsid w:val="005831D7"/>
    <w:rsid w:val="0058480D"/>
    <w:rsid w:val="005853C0"/>
    <w:rsid w:val="00585B1D"/>
    <w:rsid w:val="00585EA9"/>
    <w:rsid w:val="00586811"/>
    <w:rsid w:val="0059071E"/>
    <w:rsid w:val="00590913"/>
    <w:rsid w:val="00590A3C"/>
    <w:rsid w:val="005925C0"/>
    <w:rsid w:val="00593FF2"/>
    <w:rsid w:val="00594FF8"/>
    <w:rsid w:val="00595FC7"/>
    <w:rsid w:val="005960D4"/>
    <w:rsid w:val="00597278"/>
    <w:rsid w:val="005A065C"/>
    <w:rsid w:val="005A2AA3"/>
    <w:rsid w:val="005A5561"/>
    <w:rsid w:val="005A5B36"/>
    <w:rsid w:val="005A6CE8"/>
    <w:rsid w:val="005A756F"/>
    <w:rsid w:val="005B0C8C"/>
    <w:rsid w:val="005B0FFA"/>
    <w:rsid w:val="005B182E"/>
    <w:rsid w:val="005B2612"/>
    <w:rsid w:val="005B313D"/>
    <w:rsid w:val="005B3D52"/>
    <w:rsid w:val="005B432E"/>
    <w:rsid w:val="005B4B51"/>
    <w:rsid w:val="005B54CC"/>
    <w:rsid w:val="005B5CC3"/>
    <w:rsid w:val="005B6850"/>
    <w:rsid w:val="005B6DC2"/>
    <w:rsid w:val="005B703A"/>
    <w:rsid w:val="005C00A5"/>
    <w:rsid w:val="005C0E30"/>
    <w:rsid w:val="005C410A"/>
    <w:rsid w:val="005C4E85"/>
    <w:rsid w:val="005C5DF7"/>
    <w:rsid w:val="005C621F"/>
    <w:rsid w:val="005C6FFE"/>
    <w:rsid w:val="005D2AC9"/>
    <w:rsid w:val="005D2EA6"/>
    <w:rsid w:val="005D498B"/>
    <w:rsid w:val="005E04AD"/>
    <w:rsid w:val="005E0FBD"/>
    <w:rsid w:val="005E1D53"/>
    <w:rsid w:val="005E5A7B"/>
    <w:rsid w:val="005E6960"/>
    <w:rsid w:val="005F03A6"/>
    <w:rsid w:val="005F3627"/>
    <w:rsid w:val="005F3EAD"/>
    <w:rsid w:val="005F4618"/>
    <w:rsid w:val="005F4A4E"/>
    <w:rsid w:val="005F4DB4"/>
    <w:rsid w:val="005F509B"/>
    <w:rsid w:val="005F6E2D"/>
    <w:rsid w:val="005F7322"/>
    <w:rsid w:val="005F7BEB"/>
    <w:rsid w:val="005F7FFA"/>
    <w:rsid w:val="006005D1"/>
    <w:rsid w:val="00603047"/>
    <w:rsid w:val="006033AA"/>
    <w:rsid w:val="00603AC0"/>
    <w:rsid w:val="00605198"/>
    <w:rsid w:val="00605894"/>
    <w:rsid w:val="0060628B"/>
    <w:rsid w:val="0060781B"/>
    <w:rsid w:val="006078E0"/>
    <w:rsid w:val="00610207"/>
    <w:rsid w:val="00611032"/>
    <w:rsid w:val="0061138F"/>
    <w:rsid w:val="006142E7"/>
    <w:rsid w:val="00615919"/>
    <w:rsid w:val="00616591"/>
    <w:rsid w:val="00616FFD"/>
    <w:rsid w:val="00617F6B"/>
    <w:rsid w:val="00622840"/>
    <w:rsid w:val="00623ACF"/>
    <w:rsid w:val="00623BF3"/>
    <w:rsid w:val="00624A70"/>
    <w:rsid w:val="006259DC"/>
    <w:rsid w:val="00626A04"/>
    <w:rsid w:val="00626C57"/>
    <w:rsid w:val="0062706E"/>
    <w:rsid w:val="00627842"/>
    <w:rsid w:val="00631C42"/>
    <w:rsid w:val="006346EA"/>
    <w:rsid w:val="00634F1A"/>
    <w:rsid w:val="00640A6A"/>
    <w:rsid w:val="00640A93"/>
    <w:rsid w:val="00640F1B"/>
    <w:rsid w:val="00641B49"/>
    <w:rsid w:val="00643BD4"/>
    <w:rsid w:val="00643D2B"/>
    <w:rsid w:val="0064519A"/>
    <w:rsid w:val="00645515"/>
    <w:rsid w:val="00645522"/>
    <w:rsid w:val="00646F5A"/>
    <w:rsid w:val="00647165"/>
    <w:rsid w:val="00647366"/>
    <w:rsid w:val="00647DE0"/>
    <w:rsid w:val="00650A5E"/>
    <w:rsid w:val="00650BB4"/>
    <w:rsid w:val="00652839"/>
    <w:rsid w:val="00654D16"/>
    <w:rsid w:val="00656A56"/>
    <w:rsid w:val="00660557"/>
    <w:rsid w:val="00665FC4"/>
    <w:rsid w:val="00666448"/>
    <w:rsid w:val="00667C6B"/>
    <w:rsid w:val="00667CAF"/>
    <w:rsid w:val="00670390"/>
    <w:rsid w:val="006725DE"/>
    <w:rsid w:val="00672F42"/>
    <w:rsid w:val="0067401A"/>
    <w:rsid w:val="00674DD8"/>
    <w:rsid w:val="0067550A"/>
    <w:rsid w:val="006809F7"/>
    <w:rsid w:val="00680A1E"/>
    <w:rsid w:val="00681F8C"/>
    <w:rsid w:val="006845CB"/>
    <w:rsid w:val="006847D1"/>
    <w:rsid w:val="006848FA"/>
    <w:rsid w:val="00687ECB"/>
    <w:rsid w:val="00692B3A"/>
    <w:rsid w:val="00694935"/>
    <w:rsid w:val="006954D5"/>
    <w:rsid w:val="00695A74"/>
    <w:rsid w:val="0069619D"/>
    <w:rsid w:val="00696E6F"/>
    <w:rsid w:val="006A163B"/>
    <w:rsid w:val="006A1D96"/>
    <w:rsid w:val="006A39A7"/>
    <w:rsid w:val="006A4B2D"/>
    <w:rsid w:val="006A4B7A"/>
    <w:rsid w:val="006A4F08"/>
    <w:rsid w:val="006A5916"/>
    <w:rsid w:val="006A5B2B"/>
    <w:rsid w:val="006A5E83"/>
    <w:rsid w:val="006A6DEE"/>
    <w:rsid w:val="006A7763"/>
    <w:rsid w:val="006A7EBD"/>
    <w:rsid w:val="006B0C77"/>
    <w:rsid w:val="006B1E7B"/>
    <w:rsid w:val="006B2F48"/>
    <w:rsid w:val="006B3362"/>
    <w:rsid w:val="006B412E"/>
    <w:rsid w:val="006B4B6F"/>
    <w:rsid w:val="006B53DF"/>
    <w:rsid w:val="006B59BD"/>
    <w:rsid w:val="006B59FA"/>
    <w:rsid w:val="006B74C7"/>
    <w:rsid w:val="006C0A29"/>
    <w:rsid w:val="006C148F"/>
    <w:rsid w:val="006C2277"/>
    <w:rsid w:val="006C3975"/>
    <w:rsid w:val="006C42A7"/>
    <w:rsid w:val="006C5322"/>
    <w:rsid w:val="006C59DF"/>
    <w:rsid w:val="006C6B9C"/>
    <w:rsid w:val="006C7499"/>
    <w:rsid w:val="006C77BF"/>
    <w:rsid w:val="006C7B9F"/>
    <w:rsid w:val="006D0119"/>
    <w:rsid w:val="006D2FA0"/>
    <w:rsid w:val="006D359E"/>
    <w:rsid w:val="006D3980"/>
    <w:rsid w:val="006D5B62"/>
    <w:rsid w:val="006D694B"/>
    <w:rsid w:val="006D6CFC"/>
    <w:rsid w:val="006D6F87"/>
    <w:rsid w:val="006E0BE6"/>
    <w:rsid w:val="006E1D04"/>
    <w:rsid w:val="006E476F"/>
    <w:rsid w:val="006E6AD8"/>
    <w:rsid w:val="006E6B6E"/>
    <w:rsid w:val="006F1C82"/>
    <w:rsid w:val="006F323B"/>
    <w:rsid w:val="006F49B6"/>
    <w:rsid w:val="006F4CFC"/>
    <w:rsid w:val="006F5AE6"/>
    <w:rsid w:val="006F5D09"/>
    <w:rsid w:val="006F6C7A"/>
    <w:rsid w:val="00701038"/>
    <w:rsid w:val="00704880"/>
    <w:rsid w:val="00704F6B"/>
    <w:rsid w:val="007052BB"/>
    <w:rsid w:val="00705B89"/>
    <w:rsid w:val="0070657B"/>
    <w:rsid w:val="00706CBB"/>
    <w:rsid w:val="00707613"/>
    <w:rsid w:val="00707920"/>
    <w:rsid w:val="00707BF0"/>
    <w:rsid w:val="00711522"/>
    <w:rsid w:val="00714CA2"/>
    <w:rsid w:val="00716299"/>
    <w:rsid w:val="0071758F"/>
    <w:rsid w:val="00717D3C"/>
    <w:rsid w:val="00721BEF"/>
    <w:rsid w:val="00721F31"/>
    <w:rsid w:val="007241D4"/>
    <w:rsid w:val="00724562"/>
    <w:rsid w:val="0072466E"/>
    <w:rsid w:val="00725BD5"/>
    <w:rsid w:val="007267A7"/>
    <w:rsid w:val="0073301E"/>
    <w:rsid w:val="0073761B"/>
    <w:rsid w:val="007402EF"/>
    <w:rsid w:val="00740632"/>
    <w:rsid w:val="00744EC3"/>
    <w:rsid w:val="007453A2"/>
    <w:rsid w:val="00745B91"/>
    <w:rsid w:val="00745DFA"/>
    <w:rsid w:val="00746BDC"/>
    <w:rsid w:val="00746EAC"/>
    <w:rsid w:val="007476CC"/>
    <w:rsid w:val="00750B57"/>
    <w:rsid w:val="00750FAA"/>
    <w:rsid w:val="0075289A"/>
    <w:rsid w:val="007560BC"/>
    <w:rsid w:val="00761E29"/>
    <w:rsid w:val="00763E98"/>
    <w:rsid w:val="00764A41"/>
    <w:rsid w:val="00772F1D"/>
    <w:rsid w:val="0077454B"/>
    <w:rsid w:val="00775A65"/>
    <w:rsid w:val="00775C7B"/>
    <w:rsid w:val="00776F55"/>
    <w:rsid w:val="0077723A"/>
    <w:rsid w:val="00777DF2"/>
    <w:rsid w:val="00781490"/>
    <w:rsid w:val="00781A69"/>
    <w:rsid w:val="00783496"/>
    <w:rsid w:val="0078391F"/>
    <w:rsid w:val="00783CDD"/>
    <w:rsid w:val="00783E2C"/>
    <w:rsid w:val="00786293"/>
    <w:rsid w:val="00787E23"/>
    <w:rsid w:val="00787F7F"/>
    <w:rsid w:val="00790DCA"/>
    <w:rsid w:val="00791269"/>
    <w:rsid w:val="007913C5"/>
    <w:rsid w:val="0079258B"/>
    <w:rsid w:val="00792FDE"/>
    <w:rsid w:val="007932AD"/>
    <w:rsid w:val="00793904"/>
    <w:rsid w:val="007961AE"/>
    <w:rsid w:val="00796BE4"/>
    <w:rsid w:val="00796F37"/>
    <w:rsid w:val="007972A3"/>
    <w:rsid w:val="0079755F"/>
    <w:rsid w:val="00797A07"/>
    <w:rsid w:val="00797A6C"/>
    <w:rsid w:val="007A02D9"/>
    <w:rsid w:val="007A0664"/>
    <w:rsid w:val="007A0849"/>
    <w:rsid w:val="007A0D27"/>
    <w:rsid w:val="007B18F6"/>
    <w:rsid w:val="007B1E33"/>
    <w:rsid w:val="007B2B38"/>
    <w:rsid w:val="007B2E1F"/>
    <w:rsid w:val="007B3955"/>
    <w:rsid w:val="007B5413"/>
    <w:rsid w:val="007B6CCF"/>
    <w:rsid w:val="007B7251"/>
    <w:rsid w:val="007B7CEB"/>
    <w:rsid w:val="007C0A33"/>
    <w:rsid w:val="007C1E37"/>
    <w:rsid w:val="007C3A67"/>
    <w:rsid w:val="007C68AC"/>
    <w:rsid w:val="007C75A5"/>
    <w:rsid w:val="007C7EEF"/>
    <w:rsid w:val="007D0E41"/>
    <w:rsid w:val="007D1682"/>
    <w:rsid w:val="007D4268"/>
    <w:rsid w:val="007D6C03"/>
    <w:rsid w:val="007D6D09"/>
    <w:rsid w:val="007D6FF3"/>
    <w:rsid w:val="007D7995"/>
    <w:rsid w:val="007E0F83"/>
    <w:rsid w:val="007E182B"/>
    <w:rsid w:val="007E2191"/>
    <w:rsid w:val="007E52E0"/>
    <w:rsid w:val="007E55B0"/>
    <w:rsid w:val="007E593D"/>
    <w:rsid w:val="007E7D5A"/>
    <w:rsid w:val="007F06E8"/>
    <w:rsid w:val="007F15E0"/>
    <w:rsid w:val="007F3280"/>
    <w:rsid w:val="007F41E7"/>
    <w:rsid w:val="007F4398"/>
    <w:rsid w:val="007F46CC"/>
    <w:rsid w:val="007F53A9"/>
    <w:rsid w:val="007F5F03"/>
    <w:rsid w:val="007F6B79"/>
    <w:rsid w:val="008023DE"/>
    <w:rsid w:val="00803298"/>
    <w:rsid w:val="00803BD4"/>
    <w:rsid w:val="00804778"/>
    <w:rsid w:val="008052A0"/>
    <w:rsid w:val="008066F7"/>
    <w:rsid w:val="00807654"/>
    <w:rsid w:val="00810274"/>
    <w:rsid w:val="0081373B"/>
    <w:rsid w:val="00813DA9"/>
    <w:rsid w:val="00815F88"/>
    <w:rsid w:val="00816A14"/>
    <w:rsid w:val="0081793F"/>
    <w:rsid w:val="00820CB8"/>
    <w:rsid w:val="008216C8"/>
    <w:rsid w:val="00822329"/>
    <w:rsid w:val="00822FA3"/>
    <w:rsid w:val="008233F9"/>
    <w:rsid w:val="00825D20"/>
    <w:rsid w:val="00826C5D"/>
    <w:rsid w:val="008314C3"/>
    <w:rsid w:val="00833BF3"/>
    <w:rsid w:val="00834278"/>
    <w:rsid w:val="00835F5F"/>
    <w:rsid w:val="00836C76"/>
    <w:rsid w:val="00837272"/>
    <w:rsid w:val="008373E5"/>
    <w:rsid w:val="0084084E"/>
    <w:rsid w:val="00842C96"/>
    <w:rsid w:val="008444C2"/>
    <w:rsid w:val="00850C72"/>
    <w:rsid w:val="00850EB9"/>
    <w:rsid w:val="008514B9"/>
    <w:rsid w:val="008515B1"/>
    <w:rsid w:val="0085319A"/>
    <w:rsid w:val="00854CA7"/>
    <w:rsid w:val="00854D94"/>
    <w:rsid w:val="0085524F"/>
    <w:rsid w:val="00855471"/>
    <w:rsid w:val="0085630D"/>
    <w:rsid w:val="00856317"/>
    <w:rsid w:val="00856503"/>
    <w:rsid w:val="008566DF"/>
    <w:rsid w:val="0086273F"/>
    <w:rsid w:val="00863F14"/>
    <w:rsid w:val="00864A6F"/>
    <w:rsid w:val="00865386"/>
    <w:rsid w:val="00867313"/>
    <w:rsid w:val="008676FE"/>
    <w:rsid w:val="00867BFF"/>
    <w:rsid w:val="00871D58"/>
    <w:rsid w:val="00872245"/>
    <w:rsid w:val="00873654"/>
    <w:rsid w:val="008764D4"/>
    <w:rsid w:val="008777E8"/>
    <w:rsid w:val="00882C74"/>
    <w:rsid w:val="00883836"/>
    <w:rsid w:val="00883A9D"/>
    <w:rsid w:val="008853AB"/>
    <w:rsid w:val="00885404"/>
    <w:rsid w:val="00885538"/>
    <w:rsid w:val="00885824"/>
    <w:rsid w:val="00885B17"/>
    <w:rsid w:val="00885F12"/>
    <w:rsid w:val="00886021"/>
    <w:rsid w:val="008869CD"/>
    <w:rsid w:val="008872BA"/>
    <w:rsid w:val="008874E6"/>
    <w:rsid w:val="00887BAF"/>
    <w:rsid w:val="00890CAB"/>
    <w:rsid w:val="00892561"/>
    <w:rsid w:val="00892FBD"/>
    <w:rsid w:val="0089567D"/>
    <w:rsid w:val="00895F59"/>
    <w:rsid w:val="008971EC"/>
    <w:rsid w:val="008972FC"/>
    <w:rsid w:val="008A0EDB"/>
    <w:rsid w:val="008A1592"/>
    <w:rsid w:val="008A288B"/>
    <w:rsid w:val="008A527D"/>
    <w:rsid w:val="008B0D33"/>
    <w:rsid w:val="008B17C4"/>
    <w:rsid w:val="008B1F60"/>
    <w:rsid w:val="008B2261"/>
    <w:rsid w:val="008B46B8"/>
    <w:rsid w:val="008B4B06"/>
    <w:rsid w:val="008B51C2"/>
    <w:rsid w:val="008B7845"/>
    <w:rsid w:val="008C1676"/>
    <w:rsid w:val="008C1AFB"/>
    <w:rsid w:val="008C45CD"/>
    <w:rsid w:val="008C489D"/>
    <w:rsid w:val="008C4ED7"/>
    <w:rsid w:val="008C4EED"/>
    <w:rsid w:val="008C5EEB"/>
    <w:rsid w:val="008C74E3"/>
    <w:rsid w:val="008D25E6"/>
    <w:rsid w:val="008D29CB"/>
    <w:rsid w:val="008D3F51"/>
    <w:rsid w:val="008D5210"/>
    <w:rsid w:val="008D5C6A"/>
    <w:rsid w:val="008D7A6B"/>
    <w:rsid w:val="008E0BD2"/>
    <w:rsid w:val="008E1983"/>
    <w:rsid w:val="008E1A46"/>
    <w:rsid w:val="008E307D"/>
    <w:rsid w:val="008E464B"/>
    <w:rsid w:val="008E546D"/>
    <w:rsid w:val="008E554A"/>
    <w:rsid w:val="008E78FD"/>
    <w:rsid w:val="008E7AF7"/>
    <w:rsid w:val="008E7DC9"/>
    <w:rsid w:val="008F046D"/>
    <w:rsid w:val="008F0874"/>
    <w:rsid w:val="008F09D1"/>
    <w:rsid w:val="008F3993"/>
    <w:rsid w:val="008F3DC2"/>
    <w:rsid w:val="008F4907"/>
    <w:rsid w:val="00900619"/>
    <w:rsid w:val="0090068E"/>
    <w:rsid w:val="00901D62"/>
    <w:rsid w:val="00902E08"/>
    <w:rsid w:val="00902F85"/>
    <w:rsid w:val="00906316"/>
    <w:rsid w:val="0090691D"/>
    <w:rsid w:val="00906F33"/>
    <w:rsid w:val="0091149D"/>
    <w:rsid w:val="00913475"/>
    <w:rsid w:val="00913653"/>
    <w:rsid w:val="00913CBF"/>
    <w:rsid w:val="00913F95"/>
    <w:rsid w:val="0092020E"/>
    <w:rsid w:val="00921C59"/>
    <w:rsid w:val="00922E6C"/>
    <w:rsid w:val="00924B11"/>
    <w:rsid w:val="00926C95"/>
    <w:rsid w:val="009307A0"/>
    <w:rsid w:val="009318C9"/>
    <w:rsid w:val="00933A0C"/>
    <w:rsid w:val="00933C63"/>
    <w:rsid w:val="00933C64"/>
    <w:rsid w:val="00940384"/>
    <w:rsid w:val="0094164D"/>
    <w:rsid w:val="00942659"/>
    <w:rsid w:val="0094510A"/>
    <w:rsid w:val="00945E9F"/>
    <w:rsid w:val="009471F9"/>
    <w:rsid w:val="009504D0"/>
    <w:rsid w:val="00952D86"/>
    <w:rsid w:val="009538F9"/>
    <w:rsid w:val="009565DA"/>
    <w:rsid w:val="00956FD7"/>
    <w:rsid w:val="009601E6"/>
    <w:rsid w:val="009616BF"/>
    <w:rsid w:val="0096349D"/>
    <w:rsid w:val="00963ACE"/>
    <w:rsid w:val="00964281"/>
    <w:rsid w:val="00965BAD"/>
    <w:rsid w:val="009704EB"/>
    <w:rsid w:val="0097091E"/>
    <w:rsid w:val="00970AB1"/>
    <w:rsid w:val="009711E5"/>
    <w:rsid w:val="00972245"/>
    <w:rsid w:val="00972A13"/>
    <w:rsid w:val="00974DFA"/>
    <w:rsid w:val="00975F80"/>
    <w:rsid w:val="009760EA"/>
    <w:rsid w:val="00977AC7"/>
    <w:rsid w:val="009803A1"/>
    <w:rsid w:val="00980EA4"/>
    <w:rsid w:val="0098157B"/>
    <w:rsid w:val="009843D7"/>
    <w:rsid w:val="00986120"/>
    <w:rsid w:val="00986E39"/>
    <w:rsid w:val="00987EBA"/>
    <w:rsid w:val="00987EFC"/>
    <w:rsid w:val="00993237"/>
    <w:rsid w:val="00994201"/>
    <w:rsid w:val="00994E2D"/>
    <w:rsid w:val="009952D1"/>
    <w:rsid w:val="00995404"/>
    <w:rsid w:val="00996045"/>
    <w:rsid w:val="009A0DFA"/>
    <w:rsid w:val="009A171A"/>
    <w:rsid w:val="009A1DC4"/>
    <w:rsid w:val="009A5B45"/>
    <w:rsid w:val="009A6ECA"/>
    <w:rsid w:val="009A73F0"/>
    <w:rsid w:val="009B0428"/>
    <w:rsid w:val="009B0AD2"/>
    <w:rsid w:val="009B413D"/>
    <w:rsid w:val="009B418C"/>
    <w:rsid w:val="009B5B6D"/>
    <w:rsid w:val="009B7500"/>
    <w:rsid w:val="009B7B49"/>
    <w:rsid w:val="009C2098"/>
    <w:rsid w:val="009C26B8"/>
    <w:rsid w:val="009C34FE"/>
    <w:rsid w:val="009C358E"/>
    <w:rsid w:val="009C3744"/>
    <w:rsid w:val="009C4904"/>
    <w:rsid w:val="009C69E5"/>
    <w:rsid w:val="009C709C"/>
    <w:rsid w:val="009C71C9"/>
    <w:rsid w:val="009D07CD"/>
    <w:rsid w:val="009D20F9"/>
    <w:rsid w:val="009D3CD0"/>
    <w:rsid w:val="009D3D6F"/>
    <w:rsid w:val="009E0476"/>
    <w:rsid w:val="009E1286"/>
    <w:rsid w:val="009E1B32"/>
    <w:rsid w:val="009E1DDE"/>
    <w:rsid w:val="009E6EBF"/>
    <w:rsid w:val="009E7428"/>
    <w:rsid w:val="009F00D4"/>
    <w:rsid w:val="009F2677"/>
    <w:rsid w:val="009F3C68"/>
    <w:rsid w:val="009F5202"/>
    <w:rsid w:val="009F639F"/>
    <w:rsid w:val="009F6747"/>
    <w:rsid w:val="009F6860"/>
    <w:rsid w:val="009F6A0C"/>
    <w:rsid w:val="009F6A82"/>
    <w:rsid w:val="00A00629"/>
    <w:rsid w:val="00A01DC3"/>
    <w:rsid w:val="00A03A7C"/>
    <w:rsid w:val="00A05274"/>
    <w:rsid w:val="00A064B0"/>
    <w:rsid w:val="00A0689A"/>
    <w:rsid w:val="00A070E8"/>
    <w:rsid w:val="00A1038D"/>
    <w:rsid w:val="00A10EAB"/>
    <w:rsid w:val="00A10FAF"/>
    <w:rsid w:val="00A112A0"/>
    <w:rsid w:val="00A11C75"/>
    <w:rsid w:val="00A12C32"/>
    <w:rsid w:val="00A1381B"/>
    <w:rsid w:val="00A14532"/>
    <w:rsid w:val="00A168FD"/>
    <w:rsid w:val="00A216AF"/>
    <w:rsid w:val="00A24E85"/>
    <w:rsid w:val="00A2543C"/>
    <w:rsid w:val="00A2575C"/>
    <w:rsid w:val="00A25E11"/>
    <w:rsid w:val="00A3043A"/>
    <w:rsid w:val="00A324CE"/>
    <w:rsid w:val="00A32ECA"/>
    <w:rsid w:val="00A33952"/>
    <w:rsid w:val="00A33C08"/>
    <w:rsid w:val="00A344DE"/>
    <w:rsid w:val="00A349A7"/>
    <w:rsid w:val="00A3564A"/>
    <w:rsid w:val="00A4029E"/>
    <w:rsid w:val="00A41111"/>
    <w:rsid w:val="00A426BD"/>
    <w:rsid w:val="00A44073"/>
    <w:rsid w:val="00A447D8"/>
    <w:rsid w:val="00A45B88"/>
    <w:rsid w:val="00A46517"/>
    <w:rsid w:val="00A46B82"/>
    <w:rsid w:val="00A500DB"/>
    <w:rsid w:val="00A510EE"/>
    <w:rsid w:val="00A51E41"/>
    <w:rsid w:val="00A52009"/>
    <w:rsid w:val="00A52DA1"/>
    <w:rsid w:val="00A5318D"/>
    <w:rsid w:val="00A5467D"/>
    <w:rsid w:val="00A55C7D"/>
    <w:rsid w:val="00A5606E"/>
    <w:rsid w:val="00A5645E"/>
    <w:rsid w:val="00A5725D"/>
    <w:rsid w:val="00A5776A"/>
    <w:rsid w:val="00A57D53"/>
    <w:rsid w:val="00A60163"/>
    <w:rsid w:val="00A60AE4"/>
    <w:rsid w:val="00A61142"/>
    <w:rsid w:val="00A618D4"/>
    <w:rsid w:val="00A63E5A"/>
    <w:rsid w:val="00A64E9A"/>
    <w:rsid w:val="00A664BA"/>
    <w:rsid w:val="00A67D59"/>
    <w:rsid w:val="00A7197D"/>
    <w:rsid w:val="00A71A8D"/>
    <w:rsid w:val="00A71BEC"/>
    <w:rsid w:val="00A73109"/>
    <w:rsid w:val="00A74CFF"/>
    <w:rsid w:val="00A80397"/>
    <w:rsid w:val="00A811DD"/>
    <w:rsid w:val="00A81648"/>
    <w:rsid w:val="00A82D69"/>
    <w:rsid w:val="00A8332E"/>
    <w:rsid w:val="00A83C8A"/>
    <w:rsid w:val="00A84E6E"/>
    <w:rsid w:val="00A90BC5"/>
    <w:rsid w:val="00A92AC8"/>
    <w:rsid w:val="00A92E7A"/>
    <w:rsid w:val="00A96771"/>
    <w:rsid w:val="00A96DFF"/>
    <w:rsid w:val="00A9763F"/>
    <w:rsid w:val="00A9799A"/>
    <w:rsid w:val="00AA17AB"/>
    <w:rsid w:val="00AA1BF5"/>
    <w:rsid w:val="00AA37A2"/>
    <w:rsid w:val="00AA3B37"/>
    <w:rsid w:val="00AA4E73"/>
    <w:rsid w:val="00AA5996"/>
    <w:rsid w:val="00AA5AD4"/>
    <w:rsid w:val="00AB1344"/>
    <w:rsid w:val="00AB2AB2"/>
    <w:rsid w:val="00AB2C5D"/>
    <w:rsid w:val="00AB432C"/>
    <w:rsid w:val="00AB56AE"/>
    <w:rsid w:val="00AB5AAB"/>
    <w:rsid w:val="00AB78C1"/>
    <w:rsid w:val="00AC144A"/>
    <w:rsid w:val="00AC147E"/>
    <w:rsid w:val="00AC4593"/>
    <w:rsid w:val="00AC790E"/>
    <w:rsid w:val="00AC7E56"/>
    <w:rsid w:val="00AD094C"/>
    <w:rsid w:val="00AD22DA"/>
    <w:rsid w:val="00AD3997"/>
    <w:rsid w:val="00AD4048"/>
    <w:rsid w:val="00AD43C2"/>
    <w:rsid w:val="00AD467B"/>
    <w:rsid w:val="00AD4F6C"/>
    <w:rsid w:val="00AD560D"/>
    <w:rsid w:val="00AD70FD"/>
    <w:rsid w:val="00AD79ED"/>
    <w:rsid w:val="00AD7BD3"/>
    <w:rsid w:val="00AE0BC5"/>
    <w:rsid w:val="00AE1295"/>
    <w:rsid w:val="00AE159A"/>
    <w:rsid w:val="00AE2DE7"/>
    <w:rsid w:val="00AE2E1B"/>
    <w:rsid w:val="00AE3362"/>
    <w:rsid w:val="00AE45A8"/>
    <w:rsid w:val="00AE6C10"/>
    <w:rsid w:val="00AF1339"/>
    <w:rsid w:val="00AF2849"/>
    <w:rsid w:val="00AF3457"/>
    <w:rsid w:val="00AF4321"/>
    <w:rsid w:val="00AF6AAD"/>
    <w:rsid w:val="00B00E90"/>
    <w:rsid w:val="00B01599"/>
    <w:rsid w:val="00B026D6"/>
    <w:rsid w:val="00B04883"/>
    <w:rsid w:val="00B05373"/>
    <w:rsid w:val="00B11F97"/>
    <w:rsid w:val="00B12335"/>
    <w:rsid w:val="00B15BEC"/>
    <w:rsid w:val="00B17117"/>
    <w:rsid w:val="00B21018"/>
    <w:rsid w:val="00B23809"/>
    <w:rsid w:val="00B2438E"/>
    <w:rsid w:val="00B248AC"/>
    <w:rsid w:val="00B24A86"/>
    <w:rsid w:val="00B25000"/>
    <w:rsid w:val="00B25A8E"/>
    <w:rsid w:val="00B279B0"/>
    <w:rsid w:val="00B30CBD"/>
    <w:rsid w:val="00B32405"/>
    <w:rsid w:val="00B3543C"/>
    <w:rsid w:val="00B357FC"/>
    <w:rsid w:val="00B37210"/>
    <w:rsid w:val="00B37CAB"/>
    <w:rsid w:val="00B411E3"/>
    <w:rsid w:val="00B41838"/>
    <w:rsid w:val="00B42B98"/>
    <w:rsid w:val="00B43BE1"/>
    <w:rsid w:val="00B44407"/>
    <w:rsid w:val="00B505DE"/>
    <w:rsid w:val="00B526E8"/>
    <w:rsid w:val="00B52DE8"/>
    <w:rsid w:val="00B53680"/>
    <w:rsid w:val="00B5390F"/>
    <w:rsid w:val="00B55252"/>
    <w:rsid w:val="00B55F9E"/>
    <w:rsid w:val="00B577A3"/>
    <w:rsid w:val="00B57AF4"/>
    <w:rsid w:val="00B61090"/>
    <w:rsid w:val="00B62EA3"/>
    <w:rsid w:val="00B642B7"/>
    <w:rsid w:val="00B66A43"/>
    <w:rsid w:val="00B74309"/>
    <w:rsid w:val="00B74D4B"/>
    <w:rsid w:val="00B75E41"/>
    <w:rsid w:val="00B764A4"/>
    <w:rsid w:val="00B7685B"/>
    <w:rsid w:val="00B86E00"/>
    <w:rsid w:val="00B91D0E"/>
    <w:rsid w:val="00B92074"/>
    <w:rsid w:val="00B92B96"/>
    <w:rsid w:val="00B93A91"/>
    <w:rsid w:val="00B9448D"/>
    <w:rsid w:val="00B948D4"/>
    <w:rsid w:val="00B95543"/>
    <w:rsid w:val="00B96590"/>
    <w:rsid w:val="00B973F5"/>
    <w:rsid w:val="00BA0C6A"/>
    <w:rsid w:val="00BA6D5E"/>
    <w:rsid w:val="00BA78F6"/>
    <w:rsid w:val="00BB0ECB"/>
    <w:rsid w:val="00BB1325"/>
    <w:rsid w:val="00BB2C22"/>
    <w:rsid w:val="00BB3A96"/>
    <w:rsid w:val="00BB6E41"/>
    <w:rsid w:val="00BB7025"/>
    <w:rsid w:val="00BC0996"/>
    <w:rsid w:val="00BC161C"/>
    <w:rsid w:val="00BC2EBB"/>
    <w:rsid w:val="00BC4C59"/>
    <w:rsid w:val="00BC5272"/>
    <w:rsid w:val="00BC7B1D"/>
    <w:rsid w:val="00BC7B7C"/>
    <w:rsid w:val="00BC7D3A"/>
    <w:rsid w:val="00BD0902"/>
    <w:rsid w:val="00BD2D63"/>
    <w:rsid w:val="00BD3113"/>
    <w:rsid w:val="00BD316E"/>
    <w:rsid w:val="00BD4664"/>
    <w:rsid w:val="00BD5A7A"/>
    <w:rsid w:val="00BD73BD"/>
    <w:rsid w:val="00BD780E"/>
    <w:rsid w:val="00BD7F5B"/>
    <w:rsid w:val="00BE052B"/>
    <w:rsid w:val="00BE0E7C"/>
    <w:rsid w:val="00BE3A99"/>
    <w:rsid w:val="00BE3BEE"/>
    <w:rsid w:val="00BE4748"/>
    <w:rsid w:val="00BE4AF8"/>
    <w:rsid w:val="00BE4EA2"/>
    <w:rsid w:val="00BE5185"/>
    <w:rsid w:val="00BE69CD"/>
    <w:rsid w:val="00BF0595"/>
    <w:rsid w:val="00BF0726"/>
    <w:rsid w:val="00BF287E"/>
    <w:rsid w:val="00BF4979"/>
    <w:rsid w:val="00BF5A46"/>
    <w:rsid w:val="00BF7AFC"/>
    <w:rsid w:val="00BF7CE1"/>
    <w:rsid w:val="00C00426"/>
    <w:rsid w:val="00C012F6"/>
    <w:rsid w:val="00C027F6"/>
    <w:rsid w:val="00C02DA6"/>
    <w:rsid w:val="00C03579"/>
    <w:rsid w:val="00C054CE"/>
    <w:rsid w:val="00C05E8B"/>
    <w:rsid w:val="00C061FD"/>
    <w:rsid w:val="00C0663F"/>
    <w:rsid w:val="00C06A29"/>
    <w:rsid w:val="00C13995"/>
    <w:rsid w:val="00C14C27"/>
    <w:rsid w:val="00C172F1"/>
    <w:rsid w:val="00C208EC"/>
    <w:rsid w:val="00C2248D"/>
    <w:rsid w:val="00C2361C"/>
    <w:rsid w:val="00C23F74"/>
    <w:rsid w:val="00C247B6"/>
    <w:rsid w:val="00C24A2B"/>
    <w:rsid w:val="00C24C47"/>
    <w:rsid w:val="00C30EB0"/>
    <w:rsid w:val="00C3117A"/>
    <w:rsid w:val="00C314A0"/>
    <w:rsid w:val="00C322D2"/>
    <w:rsid w:val="00C32CBA"/>
    <w:rsid w:val="00C34595"/>
    <w:rsid w:val="00C34A41"/>
    <w:rsid w:val="00C366E6"/>
    <w:rsid w:val="00C3680B"/>
    <w:rsid w:val="00C37254"/>
    <w:rsid w:val="00C41026"/>
    <w:rsid w:val="00C41108"/>
    <w:rsid w:val="00C418BC"/>
    <w:rsid w:val="00C43C98"/>
    <w:rsid w:val="00C44397"/>
    <w:rsid w:val="00C4799A"/>
    <w:rsid w:val="00C502A8"/>
    <w:rsid w:val="00C5077C"/>
    <w:rsid w:val="00C50BAA"/>
    <w:rsid w:val="00C52E3F"/>
    <w:rsid w:val="00C57BE2"/>
    <w:rsid w:val="00C57F93"/>
    <w:rsid w:val="00C60DF9"/>
    <w:rsid w:val="00C63C2E"/>
    <w:rsid w:val="00C64286"/>
    <w:rsid w:val="00C65AFF"/>
    <w:rsid w:val="00C67098"/>
    <w:rsid w:val="00C73BF5"/>
    <w:rsid w:val="00C74D40"/>
    <w:rsid w:val="00C74D8C"/>
    <w:rsid w:val="00C74DAE"/>
    <w:rsid w:val="00C74EA7"/>
    <w:rsid w:val="00C7529A"/>
    <w:rsid w:val="00C7626C"/>
    <w:rsid w:val="00C768B6"/>
    <w:rsid w:val="00C76EED"/>
    <w:rsid w:val="00C77A8B"/>
    <w:rsid w:val="00C83FA9"/>
    <w:rsid w:val="00C849F4"/>
    <w:rsid w:val="00C858FA"/>
    <w:rsid w:val="00C85F67"/>
    <w:rsid w:val="00C87093"/>
    <w:rsid w:val="00C8795A"/>
    <w:rsid w:val="00C87B52"/>
    <w:rsid w:val="00C913F6"/>
    <w:rsid w:val="00C92B0B"/>
    <w:rsid w:val="00C941AC"/>
    <w:rsid w:val="00C945B8"/>
    <w:rsid w:val="00C94ACF"/>
    <w:rsid w:val="00C95366"/>
    <w:rsid w:val="00C96714"/>
    <w:rsid w:val="00C97E31"/>
    <w:rsid w:val="00CA072C"/>
    <w:rsid w:val="00CA167B"/>
    <w:rsid w:val="00CA20C6"/>
    <w:rsid w:val="00CA2D04"/>
    <w:rsid w:val="00CA4132"/>
    <w:rsid w:val="00CA473B"/>
    <w:rsid w:val="00CA4817"/>
    <w:rsid w:val="00CA48EB"/>
    <w:rsid w:val="00CA59AA"/>
    <w:rsid w:val="00CA7024"/>
    <w:rsid w:val="00CA7751"/>
    <w:rsid w:val="00CA7C75"/>
    <w:rsid w:val="00CA7E81"/>
    <w:rsid w:val="00CB1665"/>
    <w:rsid w:val="00CB4CD8"/>
    <w:rsid w:val="00CB54E7"/>
    <w:rsid w:val="00CB5C67"/>
    <w:rsid w:val="00CB6195"/>
    <w:rsid w:val="00CB6B68"/>
    <w:rsid w:val="00CC06AA"/>
    <w:rsid w:val="00CC0D9B"/>
    <w:rsid w:val="00CC2BF9"/>
    <w:rsid w:val="00CC33C2"/>
    <w:rsid w:val="00CC41B1"/>
    <w:rsid w:val="00CC5637"/>
    <w:rsid w:val="00CC5685"/>
    <w:rsid w:val="00CC6D63"/>
    <w:rsid w:val="00CC7291"/>
    <w:rsid w:val="00CD0D6C"/>
    <w:rsid w:val="00CD19AA"/>
    <w:rsid w:val="00CD2B1B"/>
    <w:rsid w:val="00CD5BDA"/>
    <w:rsid w:val="00CD6F3B"/>
    <w:rsid w:val="00CD721C"/>
    <w:rsid w:val="00CE1E61"/>
    <w:rsid w:val="00CE3083"/>
    <w:rsid w:val="00CE4996"/>
    <w:rsid w:val="00CE65A7"/>
    <w:rsid w:val="00CE6E67"/>
    <w:rsid w:val="00CF0D56"/>
    <w:rsid w:val="00CF1141"/>
    <w:rsid w:val="00CF1C18"/>
    <w:rsid w:val="00CF2495"/>
    <w:rsid w:val="00CF3733"/>
    <w:rsid w:val="00CF6D53"/>
    <w:rsid w:val="00CF77B3"/>
    <w:rsid w:val="00CF7E15"/>
    <w:rsid w:val="00D0067C"/>
    <w:rsid w:val="00D00B6C"/>
    <w:rsid w:val="00D01C83"/>
    <w:rsid w:val="00D01E1F"/>
    <w:rsid w:val="00D02259"/>
    <w:rsid w:val="00D044D2"/>
    <w:rsid w:val="00D063CE"/>
    <w:rsid w:val="00D06911"/>
    <w:rsid w:val="00D06A41"/>
    <w:rsid w:val="00D071FE"/>
    <w:rsid w:val="00D125AC"/>
    <w:rsid w:val="00D12735"/>
    <w:rsid w:val="00D130EA"/>
    <w:rsid w:val="00D14920"/>
    <w:rsid w:val="00D16AF5"/>
    <w:rsid w:val="00D174F2"/>
    <w:rsid w:val="00D1765D"/>
    <w:rsid w:val="00D20137"/>
    <w:rsid w:val="00D21066"/>
    <w:rsid w:val="00D21A42"/>
    <w:rsid w:val="00D2375F"/>
    <w:rsid w:val="00D2467F"/>
    <w:rsid w:val="00D25115"/>
    <w:rsid w:val="00D316F3"/>
    <w:rsid w:val="00D31926"/>
    <w:rsid w:val="00D31C8E"/>
    <w:rsid w:val="00D32111"/>
    <w:rsid w:val="00D33050"/>
    <w:rsid w:val="00D3350B"/>
    <w:rsid w:val="00D3413C"/>
    <w:rsid w:val="00D4050A"/>
    <w:rsid w:val="00D408CF"/>
    <w:rsid w:val="00D4349B"/>
    <w:rsid w:val="00D43CEB"/>
    <w:rsid w:val="00D43D51"/>
    <w:rsid w:val="00D45566"/>
    <w:rsid w:val="00D45951"/>
    <w:rsid w:val="00D45FBD"/>
    <w:rsid w:val="00D464DC"/>
    <w:rsid w:val="00D46D39"/>
    <w:rsid w:val="00D46EB8"/>
    <w:rsid w:val="00D500F6"/>
    <w:rsid w:val="00D51391"/>
    <w:rsid w:val="00D52B19"/>
    <w:rsid w:val="00D5695E"/>
    <w:rsid w:val="00D571CB"/>
    <w:rsid w:val="00D57A52"/>
    <w:rsid w:val="00D57FED"/>
    <w:rsid w:val="00D6136A"/>
    <w:rsid w:val="00D619B1"/>
    <w:rsid w:val="00D6334D"/>
    <w:rsid w:val="00D63870"/>
    <w:rsid w:val="00D63BC9"/>
    <w:rsid w:val="00D66C38"/>
    <w:rsid w:val="00D67247"/>
    <w:rsid w:val="00D67FA5"/>
    <w:rsid w:val="00D67FBA"/>
    <w:rsid w:val="00D751E2"/>
    <w:rsid w:val="00D75BDF"/>
    <w:rsid w:val="00D7612E"/>
    <w:rsid w:val="00D76CDF"/>
    <w:rsid w:val="00D809FA"/>
    <w:rsid w:val="00D810B9"/>
    <w:rsid w:val="00D81417"/>
    <w:rsid w:val="00D81E56"/>
    <w:rsid w:val="00D82E85"/>
    <w:rsid w:val="00D84A1E"/>
    <w:rsid w:val="00D8521D"/>
    <w:rsid w:val="00D8789E"/>
    <w:rsid w:val="00D92A95"/>
    <w:rsid w:val="00D92CB4"/>
    <w:rsid w:val="00D92EEE"/>
    <w:rsid w:val="00D96347"/>
    <w:rsid w:val="00D96645"/>
    <w:rsid w:val="00DA18A6"/>
    <w:rsid w:val="00DA1C57"/>
    <w:rsid w:val="00DA5B80"/>
    <w:rsid w:val="00DA5C13"/>
    <w:rsid w:val="00DA685B"/>
    <w:rsid w:val="00DA7231"/>
    <w:rsid w:val="00DB1164"/>
    <w:rsid w:val="00DB32F4"/>
    <w:rsid w:val="00DB7318"/>
    <w:rsid w:val="00DC00F1"/>
    <w:rsid w:val="00DC03C8"/>
    <w:rsid w:val="00DC0777"/>
    <w:rsid w:val="00DC1875"/>
    <w:rsid w:val="00DC2844"/>
    <w:rsid w:val="00DC2D39"/>
    <w:rsid w:val="00DC305B"/>
    <w:rsid w:val="00DC3268"/>
    <w:rsid w:val="00DC43B1"/>
    <w:rsid w:val="00DD02B0"/>
    <w:rsid w:val="00DD0EF4"/>
    <w:rsid w:val="00DD16F5"/>
    <w:rsid w:val="00DD176B"/>
    <w:rsid w:val="00DD1DA6"/>
    <w:rsid w:val="00DD637C"/>
    <w:rsid w:val="00DD63DE"/>
    <w:rsid w:val="00DD6CB1"/>
    <w:rsid w:val="00DD7258"/>
    <w:rsid w:val="00DE14BD"/>
    <w:rsid w:val="00DE4235"/>
    <w:rsid w:val="00DE62A3"/>
    <w:rsid w:val="00DE6997"/>
    <w:rsid w:val="00DE71F1"/>
    <w:rsid w:val="00DE7A26"/>
    <w:rsid w:val="00DE7BBF"/>
    <w:rsid w:val="00DF0215"/>
    <w:rsid w:val="00DF1645"/>
    <w:rsid w:val="00DF210E"/>
    <w:rsid w:val="00DF2968"/>
    <w:rsid w:val="00DF2D16"/>
    <w:rsid w:val="00DF4377"/>
    <w:rsid w:val="00DF44FE"/>
    <w:rsid w:val="00DF6341"/>
    <w:rsid w:val="00E0024B"/>
    <w:rsid w:val="00E00339"/>
    <w:rsid w:val="00E003C9"/>
    <w:rsid w:val="00E0101C"/>
    <w:rsid w:val="00E03519"/>
    <w:rsid w:val="00E042C3"/>
    <w:rsid w:val="00E04DB8"/>
    <w:rsid w:val="00E05E31"/>
    <w:rsid w:val="00E1051E"/>
    <w:rsid w:val="00E1055A"/>
    <w:rsid w:val="00E11882"/>
    <w:rsid w:val="00E1206F"/>
    <w:rsid w:val="00E1239C"/>
    <w:rsid w:val="00E14B55"/>
    <w:rsid w:val="00E14CF1"/>
    <w:rsid w:val="00E14D6F"/>
    <w:rsid w:val="00E17BE2"/>
    <w:rsid w:val="00E20231"/>
    <w:rsid w:val="00E24F09"/>
    <w:rsid w:val="00E251D0"/>
    <w:rsid w:val="00E254AE"/>
    <w:rsid w:val="00E254C2"/>
    <w:rsid w:val="00E267C2"/>
    <w:rsid w:val="00E26E46"/>
    <w:rsid w:val="00E315EF"/>
    <w:rsid w:val="00E31BB1"/>
    <w:rsid w:val="00E31CE0"/>
    <w:rsid w:val="00E323A4"/>
    <w:rsid w:val="00E3787F"/>
    <w:rsid w:val="00E379F4"/>
    <w:rsid w:val="00E41609"/>
    <w:rsid w:val="00E43C22"/>
    <w:rsid w:val="00E44834"/>
    <w:rsid w:val="00E45D47"/>
    <w:rsid w:val="00E46415"/>
    <w:rsid w:val="00E51AA6"/>
    <w:rsid w:val="00E51DA4"/>
    <w:rsid w:val="00E5415F"/>
    <w:rsid w:val="00E54FEC"/>
    <w:rsid w:val="00E57487"/>
    <w:rsid w:val="00E60956"/>
    <w:rsid w:val="00E617EB"/>
    <w:rsid w:val="00E61C61"/>
    <w:rsid w:val="00E62074"/>
    <w:rsid w:val="00E62973"/>
    <w:rsid w:val="00E63FD0"/>
    <w:rsid w:val="00E64EC6"/>
    <w:rsid w:val="00E66BD3"/>
    <w:rsid w:val="00E66C5C"/>
    <w:rsid w:val="00E67802"/>
    <w:rsid w:val="00E708AB"/>
    <w:rsid w:val="00E7170E"/>
    <w:rsid w:val="00E71A49"/>
    <w:rsid w:val="00E72035"/>
    <w:rsid w:val="00E72BC7"/>
    <w:rsid w:val="00E72FD0"/>
    <w:rsid w:val="00E73E83"/>
    <w:rsid w:val="00E74301"/>
    <w:rsid w:val="00E74EAD"/>
    <w:rsid w:val="00E75F39"/>
    <w:rsid w:val="00E75F95"/>
    <w:rsid w:val="00E80A0D"/>
    <w:rsid w:val="00E80D52"/>
    <w:rsid w:val="00E81037"/>
    <w:rsid w:val="00E834A4"/>
    <w:rsid w:val="00E851BA"/>
    <w:rsid w:val="00E85632"/>
    <w:rsid w:val="00E87555"/>
    <w:rsid w:val="00E935DE"/>
    <w:rsid w:val="00E93961"/>
    <w:rsid w:val="00E9521F"/>
    <w:rsid w:val="00E9571F"/>
    <w:rsid w:val="00E9601B"/>
    <w:rsid w:val="00E965C2"/>
    <w:rsid w:val="00EA0ADA"/>
    <w:rsid w:val="00EA137D"/>
    <w:rsid w:val="00EA2DF2"/>
    <w:rsid w:val="00EA381E"/>
    <w:rsid w:val="00EA487E"/>
    <w:rsid w:val="00EA508F"/>
    <w:rsid w:val="00EA54A0"/>
    <w:rsid w:val="00EA75DC"/>
    <w:rsid w:val="00EA76DC"/>
    <w:rsid w:val="00EB1AFE"/>
    <w:rsid w:val="00EB2BE5"/>
    <w:rsid w:val="00EB585C"/>
    <w:rsid w:val="00EB6AF6"/>
    <w:rsid w:val="00EC05C0"/>
    <w:rsid w:val="00EC19A8"/>
    <w:rsid w:val="00EC2B2B"/>
    <w:rsid w:val="00EC4C7A"/>
    <w:rsid w:val="00EC4E54"/>
    <w:rsid w:val="00EC5299"/>
    <w:rsid w:val="00EC5E5E"/>
    <w:rsid w:val="00EC5EAE"/>
    <w:rsid w:val="00EC7882"/>
    <w:rsid w:val="00ED1D5E"/>
    <w:rsid w:val="00ED2671"/>
    <w:rsid w:val="00ED295A"/>
    <w:rsid w:val="00ED3C1D"/>
    <w:rsid w:val="00ED4306"/>
    <w:rsid w:val="00ED6E73"/>
    <w:rsid w:val="00ED723E"/>
    <w:rsid w:val="00EE3FA9"/>
    <w:rsid w:val="00EE4CE7"/>
    <w:rsid w:val="00EE6520"/>
    <w:rsid w:val="00EE7351"/>
    <w:rsid w:val="00EE7470"/>
    <w:rsid w:val="00EE790D"/>
    <w:rsid w:val="00EF1D79"/>
    <w:rsid w:val="00EF22A9"/>
    <w:rsid w:val="00EF25B0"/>
    <w:rsid w:val="00EF28C4"/>
    <w:rsid w:val="00EF3032"/>
    <w:rsid w:val="00EF39E6"/>
    <w:rsid w:val="00EF42F7"/>
    <w:rsid w:val="00EF4C5C"/>
    <w:rsid w:val="00EF667F"/>
    <w:rsid w:val="00EF7260"/>
    <w:rsid w:val="00EF785A"/>
    <w:rsid w:val="00EF7B05"/>
    <w:rsid w:val="00F0011B"/>
    <w:rsid w:val="00F00A88"/>
    <w:rsid w:val="00F00CFE"/>
    <w:rsid w:val="00F010C2"/>
    <w:rsid w:val="00F0125E"/>
    <w:rsid w:val="00F01FE4"/>
    <w:rsid w:val="00F044B5"/>
    <w:rsid w:val="00F047BD"/>
    <w:rsid w:val="00F04B96"/>
    <w:rsid w:val="00F05343"/>
    <w:rsid w:val="00F126C6"/>
    <w:rsid w:val="00F128A1"/>
    <w:rsid w:val="00F1520F"/>
    <w:rsid w:val="00F153CD"/>
    <w:rsid w:val="00F15B0E"/>
    <w:rsid w:val="00F16BD8"/>
    <w:rsid w:val="00F17EA5"/>
    <w:rsid w:val="00F21955"/>
    <w:rsid w:val="00F21AD1"/>
    <w:rsid w:val="00F25982"/>
    <w:rsid w:val="00F2749C"/>
    <w:rsid w:val="00F3009B"/>
    <w:rsid w:val="00F31063"/>
    <w:rsid w:val="00F322AF"/>
    <w:rsid w:val="00F33B10"/>
    <w:rsid w:val="00F34FD1"/>
    <w:rsid w:val="00F35DEF"/>
    <w:rsid w:val="00F360A2"/>
    <w:rsid w:val="00F363E8"/>
    <w:rsid w:val="00F36E6E"/>
    <w:rsid w:val="00F37945"/>
    <w:rsid w:val="00F400AD"/>
    <w:rsid w:val="00F41C9D"/>
    <w:rsid w:val="00F42B19"/>
    <w:rsid w:val="00F43231"/>
    <w:rsid w:val="00F43ECA"/>
    <w:rsid w:val="00F4499A"/>
    <w:rsid w:val="00F500BD"/>
    <w:rsid w:val="00F514F9"/>
    <w:rsid w:val="00F522BC"/>
    <w:rsid w:val="00F551AB"/>
    <w:rsid w:val="00F55565"/>
    <w:rsid w:val="00F55CAD"/>
    <w:rsid w:val="00F56BD5"/>
    <w:rsid w:val="00F574C5"/>
    <w:rsid w:val="00F57C5A"/>
    <w:rsid w:val="00F6067E"/>
    <w:rsid w:val="00F60915"/>
    <w:rsid w:val="00F60C69"/>
    <w:rsid w:val="00F60F35"/>
    <w:rsid w:val="00F61095"/>
    <w:rsid w:val="00F649CB"/>
    <w:rsid w:val="00F65DA4"/>
    <w:rsid w:val="00F66E8F"/>
    <w:rsid w:val="00F7257E"/>
    <w:rsid w:val="00F761DA"/>
    <w:rsid w:val="00F84D89"/>
    <w:rsid w:val="00F85109"/>
    <w:rsid w:val="00F85B81"/>
    <w:rsid w:val="00F86B04"/>
    <w:rsid w:val="00F90275"/>
    <w:rsid w:val="00F902DB"/>
    <w:rsid w:val="00F926B5"/>
    <w:rsid w:val="00F92CB1"/>
    <w:rsid w:val="00F943AD"/>
    <w:rsid w:val="00F96B3F"/>
    <w:rsid w:val="00FA04AF"/>
    <w:rsid w:val="00FA18CB"/>
    <w:rsid w:val="00FA23BE"/>
    <w:rsid w:val="00FA24CC"/>
    <w:rsid w:val="00FA2BC4"/>
    <w:rsid w:val="00FA3390"/>
    <w:rsid w:val="00FA36EA"/>
    <w:rsid w:val="00FA5094"/>
    <w:rsid w:val="00FA5152"/>
    <w:rsid w:val="00FA5DC9"/>
    <w:rsid w:val="00FA7B83"/>
    <w:rsid w:val="00FB044C"/>
    <w:rsid w:val="00FB04A7"/>
    <w:rsid w:val="00FB17F9"/>
    <w:rsid w:val="00FB23A8"/>
    <w:rsid w:val="00FB3E10"/>
    <w:rsid w:val="00FB412A"/>
    <w:rsid w:val="00FB4DA7"/>
    <w:rsid w:val="00FB556A"/>
    <w:rsid w:val="00FB5799"/>
    <w:rsid w:val="00FB6BAA"/>
    <w:rsid w:val="00FC0F37"/>
    <w:rsid w:val="00FC1071"/>
    <w:rsid w:val="00FC146B"/>
    <w:rsid w:val="00FC1C31"/>
    <w:rsid w:val="00FC41DA"/>
    <w:rsid w:val="00FC4B9F"/>
    <w:rsid w:val="00FC5F31"/>
    <w:rsid w:val="00FC624F"/>
    <w:rsid w:val="00FC7382"/>
    <w:rsid w:val="00FC778E"/>
    <w:rsid w:val="00FD0395"/>
    <w:rsid w:val="00FD1693"/>
    <w:rsid w:val="00FD199E"/>
    <w:rsid w:val="00FD28F6"/>
    <w:rsid w:val="00FD3705"/>
    <w:rsid w:val="00FD6E97"/>
    <w:rsid w:val="00FD70E7"/>
    <w:rsid w:val="00FD72BA"/>
    <w:rsid w:val="00FE3D20"/>
    <w:rsid w:val="00FE47D4"/>
    <w:rsid w:val="00FE5168"/>
    <w:rsid w:val="00FF25F0"/>
    <w:rsid w:val="00FF34ED"/>
    <w:rsid w:val="00FF3B22"/>
    <w:rsid w:val="00FF5AC9"/>
    <w:rsid w:val="00FF5CD5"/>
    <w:rsid w:val="00FF5FE7"/>
    <w:rsid w:val="00FF6F2E"/>
    <w:rsid w:val="00FF7A78"/>
    <w:rsid w:val="0C5649BA"/>
    <w:rsid w:val="311E54D1"/>
    <w:rsid w:val="5D433C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3"/>
    <w:unhideWhenUsed/>
    <w:qFormat/>
    <w:uiPriority w:val="9"/>
    <w:pPr>
      <w:keepNext/>
      <w:keepLines/>
      <w:spacing w:line="560" w:lineRule="exact"/>
      <w:jc w:val="left"/>
      <w:outlineLvl w:val="1"/>
    </w:pPr>
    <w:rPr>
      <w:rFonts w:ascii="Times New Roman" w:hAnsi="Times New Roman" w:eastAsia="方正楷体简体"/>
      <w:b/>
      <w:bCs/>
      <w:color w:val="000000" w:themeColor="text1"/>
      <w:sz w:val="32"/>
      <w:szCs w:val="32"/>
      <w14:textFill>
        <w14:solidFill>
          <w14:schemeClr w14:val="tx1"/>
        </w14:solidFill>
      </w14:textFill>
    </w:rPr>
  </w:style>
  <w:style w:type="paragraph" w:styleId="4">
    <w:name w:val="heading 3"/>
    <w:basedOn w:val="1"/>
    <w:next w:val="1"/>
    <w:link w:val="34"/>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5"/>
    <w:unhideWhenUsed/>
    <w:qFormat/>
    <w:uiPriority w:val="9"/>
    <w:pPr>
      <w:keepNext/>
      <w:keepLines/>
      <w:spacing w:before="280" w:after="290" w:line="376" w:lineRule="auto"/>
      <w:outlineLvl w:val="3"/>
    </w:pPr>
    <w:rPr>
      <w:rFonts w:ascii="Cambria" w:hAnsi="Cambria"/>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rPr>
      <w:rFonts w:asciiTheme="minorHAnsi" w:hAnsiTheme="minorHAnsi" w:eastAsiaTheme="minorEastAsia" w:cstheme="minorBidi"/>
    </w:rPr>
  </w:style>
  <w:style w:type="paragraph" w:styleId="7">
    <w:name w:val="Normal Indent"/>
    <w:basedOn w:val="1"/>
    <w:link w:val="53"/>
    <w:uiPriority w:val="0"/>
    <w:pPr>
      <w:ind w:firstLine="420"/>
    </w:pPr>
    <w:rPr>
      <w:rFonts w:ascii="Times New Roman" w:hAnsi="Times New Roman"/>
      <w:szCs w:val="24"/>
    </w:rPr>
  </w:style>
  <w:style w:type="paragraph" w:styleId="8">
    <w:name w:val="caption"/>
    <w:basedOn w:val="1"/>
    <w:next w:val="1"/>
    <w:unhideWhenUsed/>
    <w:qFormat/>
    <w:uiPriority w:val="35"/>
    <w:pPr>
      <w:spacing w:line="360" w:lineRule="auto"/>
      <w:ind w:firstLine="200" w:firstLineChars="200"/>
    </w:pPr>
    <w:rPr>
      <w:rFonts w:ascii="Cambria" w:hAnsi="Cambria" w:eastAsia="黑体"/>
      <w:sz w:val="20"/>
      <w:szCs w:val="20"/>
    </w:rPr>
  </w:style>
  <w:style w:type="paragraph" w:styleId="9">
    <w:name w:val="Document Map"/>
    <w:basedOn w:val="1"/>
    <w:link w:val="36"/>
    <w:semiHidden/>
    <w:unhideWhenUsed/>
    <w:qFormat/>
    <w:uiPriority w:val="99"/>
    <w:rPr>
      <w:rFonts w:ascii="宋体"/>
      <w:sz w:val="18"/>
      <w:szCs w:val="18"/>
    </w:rPr>
  </w:style>
  <w:style w:type="paragraph" w:styleId="10">
    <w:name w:val="annotation text"/>
    <w:basedOn w:val="1"/>
    <w:link w:val="37"/>
    <w:qFormat/>
    <w:uiPriority w:val="99"/>
    <w:pPr>
      <w:spacing w:line="360" w:lineRule="auto"/>
      <w:jc w:val="left"/>
    </w:pPr>
    <w:rPr>
      <w:rFonts w:eastAsia="仿宋_GB2312" w:cs="宋体"/>
      <w:sz w:val="32"/>
    </w:rPr>
  </w:style>
  <w:style w:type="paragraph" w:styleId="11">
    <w:name w:val="Body Text"/>
    <w:basedOn w:val="1"/>
    <w:link w:val="38"/>
    <w:semiHidden/>
    <w:unhideWhenUsed/>
    <w:qFormat/>
    <w:uiPriority w:val="99"/>
    <w:pPr>
      <w:spacing w:after="120"/>
    </w:pPr>
  </w:style>
  <w:style w:type="paragraph" w:styleId="12">
    <w:name w:val="toc 5"/>
    <w:basedOn w:val="1"/>
    <w:next w:val="1"/>
    <w:unhideWhenUsed/>
    <w:qFormat/>
    <w:uiPriority w:val="39"/>
    <w:pPr>
      <w:ind w:left="1680" w:leftChars="800"/>
    </w:pPr>
    <w:rPr>
      <w:rFonts w:asciiTheme="minorHAnsi" w:hAnsiTheme="minorHAnsi" w:eastAsiaTheme="minorEastAsia" w:cstheme="minorBidi"/>
    </w:rPr>
  </w:style>
  <w:style w:type="paragraph" w:styleId="13">
    <w:name w:val="toc 3"/>
    <w:basedOn w:val="1"/>
    <w:next w:val="1"/>
    <w:unhideWhenUsed/>
    <w:qFormat/>
    <w:uiPriority w:val="39"/>
    <w:pPr>
      <w:ind w:left="840" w:leftChars="400"/>
    </w:pPr>
    <w:rPr>
      <w:sz w:val="24"/>
    </w:rPr>
  </w:style>
  <w:style w:type="paragraph" w:styleId="14">
    <w:name w:val="toc 8"/>
    <w:basedOn w:val="1"/>
    <w:next w:val="1"/>
    <w:unhideWhenUsed/>
    <w:qFormat/>
    <w:uiPriority w:val="39"/>
    <w:pPr>
      <w:ind w:left="2940" w:leftChars="1400"/>
    </w:pPr>
    <w:rPr>
      <w:rFonts w:asciiTheme="minorHAnsi" w:hAnsiTheme="minorHAnsi" w:eastAsiaTheme="minorEastAsia" w:cstheme="minorBidi"/>
    </w:rPr>
  </w:style>
  <w:style w:type="paragraph" w:styleId="15">
    <w:name w:val="Date"/>
    <w:basedOn w:val="1"/>
    <w:next w:val="1"/>
    <w:link w:val="39"/>
    <w:semiHidden/>
    <w:unhideWhenUsed/>
    <w:qFormat/>
    <w:uiPriority w:val="99"/>
    <w:pPr>
      <w:ind w:left="100" w:leftChars="2500"/>
    </w:pPr>
  </w:style>
  <w:style w:type="paragraph" w:styleId="16">
    <w:name w:val="Balloon Text"/>
    <w:basedOn w:val="1"/>
    <w:link w:val="40"/>
    <w:semiHidden/>
    <w:unhideWhenUsed/>
    <w:qFormat/>
    <w:uiPriority w:val="99"/>
    <w:rPr>
      <w:sz w:val="18"/>
      <w:szCs w:val="18"/>
    </w:rPr>
  </w:style>
  <w:style w:type="paragraph" w:styleId="17">
    <w:name w:val="footer"/>
    <w:basedOn w:val="1"/>
    <w:link w:val="41"/>
    <w:unhideWhenUsed/>
    <w:qFormat/>
    <w:uiPriority w:val="99"/>
    <w:pPr>
      <w:tabs>
        <w:tab w:val="center" w:pos="4153"/>
        <w:tab w:val="right" w:pos="8306"/>
      </w:tabs>
      <w:snapToGrid w:val="0"/>
      <w:jc w:val="left"/>
    </w:pPr>
    <w:rPr>
      <w:sz w:val="18"/>
      <w:szCs w:val="18"/>
    </w:rPr>
  </w:style>
  <w:style w:type="paragraph" w:styleId="18">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tabs>
        <w:tab w:val="right" w:leader="dot" w:pos="8296"/>
      </w:tabs>
      <w:spacing w:line="360" w:lineRule="auto"/>
      <w:jc w:val="center"/>
    </w:pPr>
    <w:rPr>
      <w:rFonts w:ascii="楷体" w:hAnsi="宋体" w:eastAsia="楷体"/>
      <w:sz w:val="24"/>
      <w:szCs w:val="28"/>
    </w:rPr>
  </w:style>
  <w:style w:type="paragraph" w:styleId="20">
    <w:name w:val="toc 4"/>
    <w:basedOn w:val="1"/>
    <w:next w:val="1"/>
    <w:unhideWhenUsed/>
    <w:qFormat/>
    <w:uiPriority w:val="39"/>
    <w:pPr>
      <w:ind w:left="1260" w:leftChars="600"/>
    </w:pPr>
    <w:rPr>
      <w:rFonts w:asciiTheme="minorHAnsi" w:hAnsiTheme="minorHAnsi" w:eastAsiaTheme="minorEastAsia" w:cstheme="minorBidi"/>
    </w:rPr>
  </w:style>
  <w:style w:type="paragraph" w:styleId="21">
    <w:name w:val="toc 6"/>
    <w:basedOn w:val="1"/>
    <w:next w:val="1"/>
    <w:unhideWhenUsed/>
    <w:qFormat/>
    <w:uiPriority w:val="39"/>
    <w:pPr>
      <w:ind w:left="2100" w:leftChars="1000"/>
    </w:pPr>
    <w:rPr>
      <w:rFonts w:asciiTheme="minorHAnsi" w:hAnsiTheme="minorHAnsi" w:eastAsiaTheme="minorEastAsia" w:cstheme="minorBidi"/>
    </w:rPr>
  </w:style>
  <w:style w:type="paragraph" w:styleId="22">
    <w:name w:val="toc 2"/>
    <w:basedOn w:val="1"/>
    <w:next w:val="1"/>
    <w:unhideWhenUsed/>
    <w:qFormat/>
    <w:uiPriority w:val="39"/>
    <w:pPr>
      <w:tabs>
        <w:tab w:val="right" w:leader="dot" w:pos="8296"/>
      </w:tabs>
      <w:spacing w:line="360" w:lineRule="auto"/>
      <w:ind w:left="420" w:leftChars="200"/>
    </w:pPr>
    <w:rPr>
      <w:sz w:val="24"/>
    </w:rPr>
  </w:style>
  <w:style w:type="paragraph" w:styleId="23">
    <w:name w:val="toc 9"/>
    <w:basedOn w:val="1"/>
    <w:next w:val="1"/>
    <w:unhideWhenUsed/>
    <w:qFormat/>
    <w:uiPriority w:val="39"/>
    <w:pPr>
      <w:ind w:left="3360" w:leftChars="1600"/>
    </w:pPr>
    <w:rPr>
      <w:rFonts w:asciiTheme="minorHAnsi" w:hAnsiTheme="minorHAnsi" w:eastAsiaTheme="minorEastAsia" w:cstheme="minorBidi"/>
    </w:rPr>
  </w:style>
  <w:style w:type="paragraph" w:styleId="24">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paragraph" w:styleId="25">
    <w:name w:val="annotation subject"/>
    <w:basedOn w:val="10"/>
    <w:next w:val="10"/>
    <w:link w:val="43"/>
    <w:semiHidden/>
    <w:unhideWhenUsed/>
    <w:qFormat/>
    <w:uiPriority w:val="99"/>
    <w:pPr>
      <w:spacing w:line="240" w:lineRule="auto"/>
    </w:pPr>
    <w:rPr>
      <w:rFonts w:eastAsia="宋体" w:cs="Times New Roman"/>
      <w:b/>
      <w:bCs/>
      <w:sz w:val="21"/>
    </w:rPr>
  </w:style>
  <w:style w:type="paragraph" w:styleId="26">
    <w:name w:val="Body Text First Indent"/>
    <w:basedOn w:val="11"/>
    <w:link w:val="44"/>
    <w:semiHidden/>
    <w:unhideWhenUsed/>
    <w:qFormat/>
    <w:uiPriority w:val="99"/>
    <w:pPr>
      <w:spacing w:line="360" w:lineRule="auto"/>
      <w:ind w:firstLine="420" w:firstLineChars="100"/>
    </w:pPr>
    <w:rPr>
      <w:rFonts w:asciiTheme="minorHAnsi" w:hAnsiTheme="minorHAnsi" w:eastAsiaTheme="minorEastAsia" w:cstheme="minorBidi"/>
      <w:sz w:val="24"/>
    </w:rPr>
  </w:style>
  <w:style w:type="table" w:styleId="28">
    <w:name w:val="Table Grid"/>
    <w:basedOn w:val="2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0">
    <w:name w:val="Hyperlink"/>
    <w:unhideWhenUsed/>
    <w:uiPriority w:val="99"/>
    <w:rPr>
      <w:color w:val="0000FF"/>
      <w:u w:val="single"/>
    </w:rPr>
  </w:style>
  <w:style w:type="character" w:styleId="31">
    <w:name w:val="annotation reference"/>
    <w:semiHidden/>
    <w:unhideWhenUsed/>
    <w:qFormat/>
    <w:uiPriority w:val="99"/>
    <w:rPr>
      <w:sz w:val="21"/>
      <w:szCs w:val="21"/>
    </w:rPr>
  </w:style>
  <w:style w:type="character" w:customStyle="1" w:styleId="32">
    <w:name w:val="标题 1 Char"/>
    <w:link w:val="2"/>
    <w:qFormat/>
    <w:uiPriority w:val="9"/>
    <w:rPr>
      <w:b/>
      <w:bCs/>
      <w:kern w:val="44"/>
      <w:sz w:val="44"/>
      <w:szCs w:val="44"/>
    </w:rPr>
  </w:style>
  <w:style w:type="character" w:customStyle="1" w:styleId="33">
    <w:name w:val="标题 2 Char"/>
    <w:link w:val="3"/>
    <w:qFormat/>
    <w:uiPriority w:val="9"/>
    <w:rPr>
      <w:rFonts w:ascii="Times New Roman" w:hAnsi="Times New Roman" w:eastAsia="方正楷体简体"/>
      <w:b/>
      <w:bCs/>
      <w:color w:val="000000" w:themeColor="text1"/>
      <w:kern w:val="2"/>
      <w:sz w:val="32"/>
      <w:szCs w:val="32"/>
      <w14:textFill>
        <w14:solidFill>
          <w14:schemeClr w14:val="tx1"/>
        </w14:solidFill>
      </w14:textFill>
    </w:rPr>
  </w:style>
  <w:style w:type="character" w:customStyle="1" w:styleId="34">
    <w:name w:val="标题 3 Char"/>
    <w:link w:val="4"/>
    <w:qFormat/>
    <w:uiPriority w:val="9"/>
    <w:rPr>
      <w:b/>
      <w:bCs/>
      <w:sz w:val="32"/>
      <w:szCs w:val="32"/>
    </w:rPr>
  </w:style>
  <w:style w:type="character" w:customStyle="1" w:styleId="35">
    <w:name w:val="标题 4 Char"/>
    <w:link w:val="5"/>
    <w:qFormat/>
    <w:uiPriority w:val="0"/>
    <w:rPr>
      <w:rFonts w:ascii="Cambria" w:hAnsi="Cambria" w:eastAsia="宋体" w:cs="Times New Roman"/>
      <w:b/>
      <w:bCs/>
      <w:sz w:val="28"/>
      <w:szCs w:val="28"/>
    </w:rPr>
  </w:style>
  <w:style w:type="character" w:customStyle="1" w:styleId="36">
    <w:name w:val="文档结构图 Char"/>
    <w:link w:val="9"/>
    <w:semiHidden/>
    <w:qFormat/>
    <w:uiPriority w:val="99"/>
    <w:rPr>
      <w:rFonts w:ascii="宋体" w:eastAsia="宋体"/>
      <w:sz w:val="18"/>
      <w:szCs w:val="18"/>
    </w:rPr>
  </w:style>
  <w:style w:type="character" w:customStyle="1" w:styleId="37">
    <w:name w:val="批注文字 Char"/>
    <w:link w:val="10"/>
    <w:qFormat/>
    <w:uiPriority w:val="99"/>
    <w:rPr>
      <w:rFonts w:ascii="Calibri" w:hAnsi="Calibri" w:eastAsia="仿宋_GB2312" w:cs="宋体"/>
      <w:sz w:val="32"/>
    </w:rPr>
  </w:style>
  <w:style w:type="character" w:customStyle="1" w:styleId="38">
    <w:name w:val="正文文本 Char"/>
    <w:basedOn w:val="29"/>
    <w:link w:val="11"/>
    <w:semiHidden/>
    <w:qFormat/>
    <w:uiPriority w:val="99"/>
    <w:rPr>
      <w:kern w:val="2"/>
      <w:sz w:val="21"/>
      <w:szCs w:val="22"/>
    </w:rPr>
  </w:style>
  <w:style w:type="character" w:customStyle="1" w:styleId="39">
    <w:name w:val="日期 Char"/>
    <w:link w:val="15"/>
    <w:semiHidden/>
    <w:qFormat/>
    <w:uiPriority w:val="99"/>
    <w:rPr>
      <w:kern w:val="2"/>
      <w:sz w:val="21"/>
      <w:szCs w:val="22"/>
    </w:rPr>
  </w:style>
  <w:style w:type="character" w:customStyle="1" w:styleId="40">
    <w:name w:val="批注框文本 Char"/>
    <w:link w:val="16"/>
    <w:semiHidden/>
    <w:qFormat/>
    <w:uiPriority w:val="99"/>
    <w:rPr>
      <w:sz w:val="18"/>
      <w:szCs w:val="18"/>
    </w:rPr>
  </w:style>
  <w:style w:type="character" w:customStyle="1" w:styleId="41">
    <w:name w:val="页脚 Char"/>
    <w:link w:val="17"/>
    <w:qFormat/>
    <w:uiPriority w:val="99"/>
    <w:rPr>
      <w:sz w:val="18"/>
      <w:szCs w:val="18"/>
    </w:rPr>
  </w:style>
  <w:style w:type="character" w:customStyle="1" w:styleId="42">
    <w:name w:val="页眉 Char"/>
    <w:link w:val="18"/>
    <w:uiPriority w:val="99"/>
    <w:rPr>
      <w:sz w:val="18"/>
      <w:szCs w:val="18"/>
    </w:rPr>
  </w:style>
  <w:style w:type="character" w:customStyle="1" w:styleId="43">
    <w:name w:val="批注主题 Char"/>
    <w:link w:val="25"/>
    <w:semiHidden/>
    <w:qFormat/>
    <w:uiPriority w:val="99"/>
    <w:rPr>
      <w:rFonts w:ascii="Calibri" w:hAnsi="Calibri" w:eastAsia="仿宋_GB2312" w:cs="宋体"/>
      <w:b/>
      <w:bCs/>
      <w:kern w:val="2"/>
      <w:sz w:val="21"/>
      <w:szCs w:val="22"/>
    </w:rPr>
  </w:style>
  <w:style w:type="character" w:customStyle="1" w:styleId="44">
    <w:name w:val="正文首行缩进 Char"/>
    <w:basedOn w:val="38"/>
    <w:link w:val="26"/>
    <w:semiHidden/>
    <w:qFormat/>
    <w:uiPriority w:val="99"/>
    <w:rPr>
      <w:rFonts w:asciiTheme="minorHAnsi" w:hAnsiTheme="minorHAnsi" w:eastAsiaTheme="minorEastAsia" w:cstheme="minorBidi"/>
      <w:kern w:val="2"/>
      <w:sz w:val="24"/>
      <w:szCs w:val="22"/>
    </w:rPr>
  </w:style>
  <w:style w:type="paragraph" w:styleId="45">
    <w:name w:val="No Spacing"/>
    <w:link w:val="46"/>
    <w:qFormat/>
    <w:uiPriority w:val="1"/>
    <w:rPr>
      <w:rFonts w:ascii="Calibri" w:hAnsi="Calibri" w:eastAsia="宋体" w:cs="Times New Roman"/>
      <w:sz w:val="22"/>
      <w:szCs w:val="22"/>
      <w:lang w:val="en-US" w:eastAsia="zh-CN" w:bidi="ar-SA"/>
    </w:rPr>
  </w:style>
  <w:style w:type="character" w:customStyle="1" w:styleId="46">
    <w:name w:val="无间隔 Char"/>
    <w:link w:val="45"/>
    <w:qFormat/>
    <w:uiPriority w:val="1"/>
    <w:rPr>
      <w:sz w:val="22"/>
      <w:szCs w:val="22"/>
    </w:rPr>
  </w:style>
  <w:style w:type="paragraph" w:customStyle="1" w:styleId="47">
    <w:name w:val="TOC 标题1"/>
    <w:basedOn w:val="2"/>
    <w:next w:val="1"/>
    <w:semiHidden/>
    <w:unhideWhenUsed/>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48">
    <w:name w:val="font11"/>
    <w:basedOn w:val="29"/>
    <w:qFormat/>
    <w:uiPriority w:val="0"/>
    <w:rPr>
      <w:rFonts w:hint="default" w:ascii="Times New Roman" w:hAnsi="Times New Roman" w:cs="Times New Roman"/>
      <w:color w:val="000000"/>
      <w:sz w:val="21"/>
      <w:szCs w:val="21"/>
      <w:u w:val="none"/>
    </w:rPr>
  </w:style>
  <w:style w:type="character" w:customStyle="1" w:styleId="49">
    <w:name w:val="font51"/>
    <w:basedOn w:val="29"/>
    <w:qFormat/>
    <w:uiPriority w:val="0"/>
    <w:rPr>
      <w:rFonts w:hint="default" w:ascii="Times New Roman" w:hAnsi="Times New Roman" w:cs="Times New Roman"/>
      <w:color w:val="000000"/>
      <w:sz w:val="21"/>
      <w:szCs w:val="21"/>
      <w:u w:val="none"/>
      <w:vertAlign w:val="superscript"/>
    </w:rPr>
  </w:style>
  <w:style w:type="paragraph" w:styleId="50">
    <w:name w:val="List Paragraph"/>
    <w:basedOn w:val="1"/>
    <w:qFormat/>
    <w:uiPriority w:val="1"/>
    <w:pPr>
      <w:autoSpaceDE w:val="0"/>
      <w:autoSpaceDN w:val="0"/>
      <w:ind w:left="807" w:hanging="701"/>
      <w:jc w:val="left"/>
    </w:pPr>
    <w:rPr>
      <w:rFonts w:ascii="Microsoft JhengHei" w:hAnsi="Microsoft JhengHei" w:eastAsia="Microsoft JhengHei" w:cs="Microsoft JhengHei"/>
      <w:kern w:val="0"/>
      <w:sz w:val="22"/>
      <w:lang w:eastAsia="en-US"/>
    </w:rPr>
  </w:style>
  <w:style w:type="paragraph" w:customStyle="1" w:styleId="51">
    <w:name w:val="表格内容"/>
    <w:basedOn w:val="1"/>
    <w:qFormat/>
    <w:uiPriority w:val="0"/>
    <w:pPr>
      <w:widowControl/>
      <w:jc w:val="center"/>
    </w:pPr>
    <w:rPr>
      <w:rFonts w:cs="宋体"/>
      <w:color w:val="000000"/>
      <w:kern w:val="0"/>
      <w:sz w:val="24"/>
      <w:szCs w:val="24"/>
    </w:rPr>
  </w:style>
  <w:style w:type="table" w:customStyle="1" w:styleId="52">
    <w:name w:val="网格型2"/>
    <w:basedOn w:val="27"/>
    <w:unhideWhenUsed/>
    <w:qFormat/>
    <w:uiPriority w:val="9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3">
    <w:name w:val="正文缩进 Char"/>
    <w:link w:val="7"/>
    <w:uiPriority w:val="0"/>
    <w:rPr>
      <w:rFonts w:ascii="Times New Roman" w:hAnsi="Times New Roman"/>
      <w:kern w:val="2"/>
      <w:sz w:val="21"/>
      <w:szCs w:val="24"/>
    </w:rPr>
  </w:style>
  <w:style w:type="character" w:customStyle="1" w:styleId="54">
    <w:name w:val="1111表文字 Char"/>
    <w:link w:val="55"/>
    <w:qFormat/>
    <w:uiPriority w:val="0"/>
    <w:rPr>
      <w:spacing w:val="14"/>
      <w:kern w:val="2"/>
      <w:sz w:val="21"/>
      <w:szCs w:val="22"/>
    </w:rPr>
  </w:style>
  <w:style w:type="paragraph" w:customStyle="1" w:styleId="55">
    <w:name w:val="1111表文字"/>
    <w:basedOn w:val="1"/>
    <w:next w:val="1"/>
    <w:link w:val="54"/>
    <w:qFormat/>
    <w:uiPriority w:val="0"/>
    <w:pPr>
      <w:spacing w:line="320" w:lineRule="exact"/>
      <w:jc w:val="center"/>
    </w:pPr>
    <w:rPr>
      <w:spacing w:val="14"/>
    </w:rPr>
  </w:style>
  <w:style w:type="character" w:customStyle="1" w:styleId="56">
    <w:name w:val="1、正文 Char"/>
    <w:link w:val="57"/>
    <w:qFormat/>
    <w:uiPriority w:val="0"/>
    <w:rPr>
      <w:sz w:val="24"/>
      <w:szCs w:val="28"/>
    </w:rPr>
  </w:style>
  <w:style w:type="paragraph" w:customStyle="1" w:styleId="57">
    <w:name w:val="1、正文"/>
    <w:basedOn w:val="1"/>
    <w:link w:val="56"/>
    <w:qFormat/>
    <w:uiPriority w:val="0"/>
    <w:pPr>
      <w:adjustRightInd w:val="0"/>
      <w:snapToGrid w:val="0"/>
      <w:spacing w:line="360" w:lineRule="auto"/>
      <w:ind w:firstLine="200" w:firstLineChars="200"/>
    </w:pPr>
    <w:rPr>
      <w:kern w:val="0"/>
      <w:sz w:val="24"/>
      <w:szCs w:val="28"/>
    </w:rPr>
  </w:style>
  <w:style w:type="table" w:customStyle="1" w:styleId="58">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59">
    <w:name w:val="Table Paragraph"/>
    <w:basedOn w:val="1"/>
    <w:qFormat/>
    <w:uiPriority w:val="1"/>
    <w:pPr>
      <w:autoSpaceDE w:val="0"/>
      <w:autoSpaceDN w:val="0"/>
      <w:jc w:val="center"/>
    </w:pPr>
    <w:rPr>
      <w:rFonts w:ascii="Times New Roman" w:hAnsi="Times New Roman" w:eastAsia="Times New Roman"/>
      <w:kern w:val="0"/>
      <w:sz w:val="22"/>
      <w:lang w:eastAsia="en-US"/>
    </w:rPr>
  </w:style>
  <w:style w:type="paragraph" w:customStyle="1" w:styleId="60">
    <w:name w:val="li_正文"/>
    <w:basedOn w:val="1"/>
    <w:qFormat/>
    <w:uiPriority w:val="0"/>
    <w:pPr>
      <w:ind w:firstLine="200" w:firstLineChars="200"/>
      <w:jc w:val="left"/>
    </w:pPr>
    <w:rPr>
      <w:rFonts w:eastAsia="Times New Roman"/>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jpeg"/><Relationship Id="rId33" Type="http://schemas.openxmlformats.org/officeDocument/2006/relationships/image" Target="media/image9.jpe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footer" Target="footer1.xml"/><Relationship Id="rId29" Type="http://schemas.openxmlformats.org/officeDocument/2006/relationships/image" Target="media/image5.png"/><Relationship Id="rId28" Type="http://schemas.openxmlformats.org/officeDocument/2006/relationships/chart" Target="charts/chart8.xml"/><Relationship Id="rId27" Type="http://schemas.openxmlformats.org/officeDocument/2006/relationships/chart" Target="charts/chart7.xml"/><Relationship Id="rId26" Type="http://schemas.openxmlformats.org/officeDocument/2006/relationships/chart" Target="charts/chart6.xml"/><Relationship Id="rId25" Type="http://schemas.openxmlformats.org/officeDocument/2006/relationships/chart" Target="charts/chart5.xml"/><Relationship Id="rId24" Type="http://schemas.openxmlformats.org/officeDocument/2006/relationships/chart" Target="charts/chart4.xml"/><Relationship Id="rId23" Type="http://schemas.openxmlformats.org/officeDocument/2006/relationships/image" Target="media/image4.jpeg"/><Relationship Id="rId22" Type="http://schemas.openxmlformats.org/officeDocument/2006/relationships/chart" Target="charts/chart3.xml"/><Relationship Id="rId21" Type="http://schemas.openxmlformats.org/officeDocument/2006/relationships/chart" Target="charts/chart2.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I:\&#35268;&#21010;&#29615;&#35780;\&#20859;&#27542;&#27745;&#26579;&#38450;&#27835;&#35268;&#21010;&#25253;&#21578;\&#22826;&#30333;&#28246;&#21306;&#30044;&#31165;&#20859;&#27542;&#38450;&#27835;&#35268;&#21010;\&#35745;&#31639;&#25968;&#2545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35268;&#21010;&#29615;&#35780;\&#20859;&#27542;&#27745;&#26579;&#38450;&#27835;&#35268;&#21010;&#25253;&#21578;\&#22826;&#30333;&#28246;&#21306;&#30044;&#31165;&#20859;&#27542;&#38450;&#27835;&#35268;&#21010;\&#35745;&#31639;&#25968;&#2545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35268;&#21010;&#29615;&#35780;\&#20859;&#27542;&#27745;&#26579;&#38450;&#27835;&#35268;&#21010;&#25253;&#21578;\&#22826;&#30333;&#28246;&#21306;&#30044;&#31165;&#20859;&#27542;&#38450;&#27835;&#35268;&#21010;\&#35745;&#31639;&#25968;&#2545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35268;&#21010;&#29615;&#35780;\&#20859;&#27542;&#27745;&#26579;&#38450;&#27835;&#35268;&#21010;&#25253;&#21578;\&#22826;&#30333;&#28246;&#21306;&#30044;&#31165;&#20859;&#27542;&#38450;&#27835;&#35268;&#21010;\&#35745;&#31639;&#25968;&#2545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35268;&#21010;&#29615;&#35780;\&#20859;&#27542;&#27745;&#26579;&#38450;&#27835;&#35268;&#21010;&#25253;&#21578;\&#22826;&#30333;&#28246;&#21306;&#30044;&#31165;&#20859;&#27542;&#38450;&#27835;&#35268;&#21010;\&#35745;&#31639;&#25968;&#2545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I:\&#35268;&#21010;&#29615;&#35780;\&#20859;&#27542;&#27745;&#26579;&#38450;&#27835;&#35268;&#21010;&#25253;&#21578;\&#22826;&#30333;&#28246;&#21306;&#30044;&#31165;&#20859;&#27542;&#38450;&#27835;&#35268;&#21010;\&#35745;&#31639;&#25968;&#2545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I:\&#35268;&#21010;&#29615;&#35780;\&#20859;&#27542;&#27745;&#26579;&#38450;&#27835;&#35268;&#21010;&#25253;&#21578;\&#22826;&#30333;&#28246;&#21306;&#30044;&#31165;&#20859;&#27542;&#38450;&#27835;&#35268;&#21010;\&#35745;&#31639;&#25968;&#2545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I:\&#35268;&#21010;&#29615;&#35780;\&#20859;&#27542;&#27745;&#26579;&#38450;&#27835;&#35268;&#21010;&#25253;&#21578;\&#22826;&#30333;&#28246;&#21306;&#30044;&#31165;&#20859;&#27542;&#38450;&#27835;&#35268;&#21010;\&#35745;&#31639;&#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7"/>
    </mc:Choice>
    <mc:Fallback>
      <c:style val="37"/>
    </mc:Fallback>
  </mc:AlternateContent>
  <c:chart>
    <c:title>
      <c:layout/>
      <c:overlay val="0"/>
      <c:txPr>
        <a:bodyPr rot="0" spcFirstLastPara="0" vertOverflow="ellipsis" vert="horz" wrap="square" anchor="ctr" anchorCtr="1"/>
        <a:lstStyle/>
        <a:p>
          <a:pPr>
            <a:defRPr lang="zh-CN" sz="1800" b="1" i="0" u="none" strike="noStrike" kern="1200" baseline="0">
              <a:solidFill>
                <a:schemeClr val="dk1"/>
              </a:solidFill>
              <a:latin typeface="+mn-lt"/>
              <a:ea typeface="+mn-ea"/>
              <a:cs typeface="+mn-cs"/>
            </a:defRPr>
          </a:pPr>
        </a:p>
      </c:txPr>
    </c:title>
    <c:autoTitleDeleted val="0"/>
    <c:plotArea>
      <c:layout/>
      <c:barChart>
        <c:barDir val="col"/>
        <c:grouping val="clustered"/>
        <c:varyColors val="0"/>
        <c:ser>
          <c:idx val="0"/>
          <c:order val="0"/>
          <c:tx>
            <c:strRef>
              <c:f>图表!$C$4</c:f>
              <c:strCache>
                <c:ptCount val="1"/>
                <c:pt idx="0">
                  <c:v>石桥镇</c:v>
                </c:pt>
              </c:strCache>
            </c:strRef>
          </c:tx>
          <c:invertIfNegative val="0"/>
          <c:dLbls>
            <c:delete val="1"/>
          </c:dLbls>
          <c:cat>
            <c:multiLvlStrRef>
              <c:f>图表!$D$2:$K$3</c:f>
              <c:multiLvlStrCache>
                <c:ptCount val="8"/>
                <c:lvl>
                  <c:pt idx="0">
                    <c:v>存栏量</c:v>
                  </c:pt>
                  <c:pt idx="1">
                    <c:v>出栏量</c:v>
                  </c:pt>
                  <c:pt idx="2">
                    <c:v>存栏量</c:v>
                  </c:pt>
                  <c:pt idx="3">
                    <c:v>出栏量</c:v>
                  </c:pt>
                  <c:pt idx="4">
                    <c:v>存栏量</c:v>
                  </c:pt>
                  <c:pt idx="5">
                    <c:v>出栏量</c:v>
                  </c:pt>
                  <c:pt idx="6">
                    <c:v>存栏量</c:v>
                  </c:pt>
                  <c:pt idx="7">
                    <c:v>出栏量</c:v>
                  </c:pt>
                </c:lvl>
                <c:lvl>
                  <c:pt idx="0">
                    <c:v>生猪（头）</c:v>
                  </c:pt>
                  <c:pt idx="2">
                    <c:v>牛（头）</c:v>
                  </c:pt>
                  <c:pt idx="4">
                    <c:v>羊（只）</c:v>
                  </c:pt>
                  <c:pt idx="6">
                    <c:v>家禽（羽）</c:v>
                  </c:pt>
                </c:lvl>
              </c:multiLvlStrCache>
            </c:multiLvlStrRef>
          </c:cat>
          <c:val>
            <c:numRef>
              <c:f>图表!$D$4:$K$4</c:f>
              <c:numCache>
                <c:formatCode>General</c:formatCode>
                <c:ptCount val="8"/>
                <c:pt idx="0">
                  <c:v>15813</c:v>
                </c:pt>
                <c:pt idx="1">
                  <c:v>44016</c:v>
                </c:pt>
                <c:pt idx="2">
                  <c:v>3150</c:v>
                </c:pt>
                <c:pt idx="3">
                  <c:v>810</c:v>
                </c:pt>
                <c:pt idx="4">
                  <c:v>807</c:v>
                </c:pt>
                <c:pt idx="5">
                  <c:v>807</c:v>
                </c:pt>
                <c:pt idx="6">
                  <c:v>66300</c:v>
                </c:pt>
                <c:pt idx="7">
                  <c:v>312300</c:v>
                </c:pt>
              </c:numCache>
            </c:numRef>
          </c:val>
        </c:ser>
        <c:dLbls>
          <c:showLegendKey val="0"/>
          <c:showVal val="0"/>
          <c:showCatName val="0"/>
          <c:showSerName val="0"/>
          <c:showPercent val="0"/>
          <c:showBubbleSize val="0"/>
        </c:dLbls>
        <c:gapWidth val="150"/>
        <c:axId val="267582080"/>
        <c:axId val="474436736"/>
      </c:barChart>
      <c:catAx>
        <c:axId val="26758208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crossAx val="474436736"/>
        <c:crosses val="autoZero"/>
        <c:auto val="1"/>
        <c:lblAlgn val="ctr"/>
        <c:lblOffset val="100"/>
        <c:noMultiLvlLbl val="0"/>
      </c:catAx>
      <c:valAx>
        <c:axId val="47443673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crossAx val="267582080"/>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图表!$C$29</c:f>
              <c:strCache>
                <c:ptCount val="1"/>
                <c:pt idx="0">
                  <c:v>石桥镇</c:v>
                </c:pt>
              </c:strCache>
            </c:strRef>
          </c:tx>
          <c:invertIfNegative val="0"/>
          <c:dLbls>
            <c:delete val="1"/>
          </c:dLbls>
          <c:cat>
            <c:multiLvlStrRef>
              <c:f>图表!$D$27:$O$28</c:f>
              <c:multiLvlStrCache>
                <c:ptCount val="12"/>
                <c:lvl>
                  <c:pt idx="0">
                    <c:v>户数</c:v>
                  </c:pt>
                  <c:pt idx="1">
                    <c:v>存栏</c:v>
                  </c:pt>
                  <c:pt idx="2">
                    <c:v>出栏</c:v>
                  </c:pt>
                  <c:pt idx="3">
                    <c:v>户数</c:v>
                  </c:pt>
                  <c:pt idx="4">
                    <c:v>存栏</c:v>
                  </c:pt>
                  <c:pt idx="5">
                    <c:v>出栏</c:v>
                  </c:pt>
                  <c:pt idx="6">
                    <c:v>户数</c:v>
                  </c:pt>
                  <c:pt idx="7">
                    <c:v>存栏</c:v>
                  </c:pt>
                  <c:pt idx="8">
                    <c:v>出栏</c:v>
                  </c:pt>
                  <c:pt idx="9">
                    <c:v>户数</c:v>
                  </c:pt>
                  <c:pt idx="10">
                    <c:v>存栏</c:v>
                  </c:pt>
                  <c:pt idx="11">
                    <c:v>出栏</c:v>
                  </c:pt>
                </c:lvl>
                <c:lvl>
                  <c:pt idx="0">
                    <c:v>生猪</c:v>
                  </c:pt>
                  <c:pt idx="3">
                    <c:v>牛</c:v>
                  </c:pt>
                  <c:pt idx="6">
                    <c:v>羊</c:v>
                  </c:pt>
                  <c:pt idx="9">
                    <c:v>禽类</c:v>
                  </c:pt>
                </c:lvl>
              </c:multiLvlStrCache>
            </c:multiLvlStrRef>
          </c:cat>
          <c:val>
            <c:numRef>
              <c:f>图表!$D$29:$O$29</c:f>
              <c:numCache>
                <c:formatCode>General</c:formatCode>
                <c:ptCount val="12"/>
                <c:pt idx="0">
                  <c:v>6</c:v>
                </c:pt>
                <c:pt idx="1">
                  <c:v>10850</c:v>
                </c:pt>
                <c:pt idx="2">
                  <c:v>34090</c:v>
                </c:pt>
                <c:pt idx="3">
                  <c:v>1</c:v>
                </c:pt>
                <c:pt idx="4">
                  <c:v>3000</c:v>
                </c:pt>
                <c:pt idx="5">
                  <c:v>660</c:v>
                </c:pt>
                <c:pt idx="6">
                  <c:v>0</c:v>
                </c:pt>
                <c:pt idx="7">
                  <c:v>0</c:v>
                </c:pt>
                <c:pt idx="8">
                  <c:v>0</c:v>
                </c:pt>
                <c:pt idx="9">
                  <c:v>1</c:v>
                </c:pt>
                <c:pt idx="10">
                  <c:v>4800</c:v>
                </c:pt>
                <c:pt idx="11">
                  <c:v>4800</c:v>
                </c:pt>
              </c:numCache>
            </c:numRef>
          </c:val>
        </c:ser>
        <c:dLbls>
          <c:showLegendKey val="0"/>
          <c:showVal val="0"/>
          <c:showCatName val="0"/>
          <c:showSerName val="0"/>
          <c:showPercent val="0"/>
          <c:showBubbleSize val="0"/>
        </c:dLbls>
        <c:gapWidth val="150"/>
        <c:axId val="267457664"/>
        <c:axId val="267459200"/>
      </c:barChart>
      <c:catAx>
        <c:axId val="26745766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7459200"/>
        <c:crosses val="autoZero"/>
        <c:auto val="1"/>
        <c:lblAlgn val="ctr"/>
        <c:lblOffset val="100"/>
        <c:noMultiLvlLbl val="0"/>
      </c:catAx>
      <c:valAx>
        <c:axId val="26745920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7457664"/>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图表!$C$38</c:f>
              <c:strCache>
                <c:ptCount val="1"/>
                <c:pt idx="0">
                  <c:v>石桥镇</c:v>
                </c:pt>
              </c:strCache>
            </c:strRef>
          </c:tx>
          <c:invertIfNegative val="0"/>
          <c:dLbls>
            <c:delete val="1"/>
          </c:dLbls>
          <c:cat>
            <c:multiLvlStrRef>
              <c:f>图表!$D$36:$O$37</c:f>
              <c:multiLvlStrCache>
                <c:ptCount val="12"/>
                <c:lvl>
                  <c:pt idx="0">
                    <c:v>户数</c:v>
                  </c:pt>
                  <c:pt idx="1">
                    <c:v>存栏量</c:v>
                  </c:pt>
                  <c:pt idx="2">
                    <c:v>出栏量</c:v>
                  </c:pt>
                  <c:pt idx="3">
                    <c:v>户数</c:v>
                  </c:pt>
                  <c:pt idx="4">
                    <c:v>存栏量</c:v>
                  </c:pt>
                  <c:pt idx="5">
                    <c:v>出栏量</c:v>
                  </c:pt>
                  <c:pt idx="6">
                    <c:v>户数</c:v>
                  </c:pt>
                  <c:pt idx="7">
                    <c:v>存栏量</c:v>
                  </c:pt>
                  <c:pt idx="8">
                    <c:v>出栏量</c:v>
                  </c:pt>
                  <c:pt idx="9">
                    <c:v>户数</c:v>
                  </c:pt>
                  <c:pt idx="10">
                    <c:v>存栏量</c:v>
                  </c:pt>
                  <c:pt idx="11">
                    <c:v>出栏量</c:v>
                  </c:pt>
                </c:lvl>
                <c:lvl>
                  <c:pt idx="0">
                    <c:v>生猪</c:v>
                  </c:pt>
                  <c:pt idx="3">
                    <c:v>肉牛</c:v>
                  </c:pt>
                  <c:pt idx="6">
                    <c:v>羊</c:v>
                  </c:pt>
                  <c:pt idx="9">
                    <c:v>家禽</c:v>
                  </c:pt>
                </c:lvl>
              </c:multiLvlStrCache>
            </c:multiLvlStrRef>
          </c:cat>
          <c:val>
            <c:numRef>
              <c:f>图表!$D$38:$O$38</c:f>
              <c:numCache>
                <c:formatCode>General</c:formatCode>
                <c:ptCount val="12"/>
                <c:pt idx="0">
                  <c:v>67</c:v>
                </c:pt>
                <c:pt idx="1">
                  <c:v>4963</c:v>
                </c:pt>
                <c:pt idx="2">
                  <c:v>9926</c:v>
                </c:pt>
                <c:pt idx="3">
                  <c:v>4</c:v>
                </c:pt>
                <c:pt idx="4">
                  <c:v>150</c:v>
                </c:pt>
                <c:pt idx="5">
                  <c:v>150</c:v>
                </c:pt>
                <c:pt idx="6">
                  <c:v>10</c:v>
                </c:pt>
                <c:pt idx="7">
                  <c:v>807</c:v>
                </c:pt>
                <c:pt idx="8">
                  <c:v>807</c:v>
                </c:pt>
                <c:pt idx="9">
                  <c:v>20</c:v>
                </c:pt>
                <c:pt idx="10">
                  <c:v>61500</c:v>
                </c:pt>
                <c:pt idx="11">
                  <c:v>307500</c:v>
                </c:pt>
              </c:numCache>
            </c:numRef>
          </c:val>
        </c:ser>
        <c:dLbls>
          <c:showLegendKey val="0"/>
          <c:showVal val="0"/>
          <c:showCatName val="0"/>
          <c:showSerName val="0"/>
          <c:showPercent val="0"/>
          <c:showBubbleSize val="0"/>
        </c:dLbls>
        <c:gapWidth val="150"/>
        <c:axId val="267516544"/>
        <c:axId val="284168576"/>
      </c:barChart>
      <c:catAx>
        <c:axId val="26751654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4168576"/>
        <c:crosses val="autoZero"/>
        <c:auto val="1"/>
        <c:lblAlgn val="ctr"/>
        <c:lblOffset val="100"/>
        <c:noMultiLvlLbl val="0"/>
      </c:catAx>
      <c:valAx>
        <c:axId val="28416857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7516544"/>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4238407699038"/>
          <c:y val="0.0282524059492563"/>
          <c:w val="0.563582458442695"/>
          <c:h val="0.828939195100612"/>
        </c:manualLayout>
      </c:layout>
      <c:barChart>
        <c:barDir val="col"/>
        <c:grouping val="stacked"/>
        <c:varyColors val="0"/>
        <c:ser>
          <c:idx val="0"/>
          <c:order val="0"/>
          <c:tx>
            <c:strRef>
              <c:f>图表!$C$54</c:f>
              <c:strCache>
                <c:ptCount val="1"/>
                <c:pt idx="0">
                  <c:v>粪便产生量（t/a）</c:v>
                </c:pt>
              </c:strCache>
            </c:strRef>
          </c:tx>
          <c:invertIfNegative val="0"/>
          <c:dLbls>
            <c:delete val="1"/>
          </c:dLbls>
          <c:cat>
            <c:strRef>
              <c:f>图表!$B$55:$B$63</c:f>
              <c:strCache>
                <c:ptCount val="9"/>
                <c:pt idx="0">
                  <c:v>生猪</c:v>
                </c:pt>
                <c:pt idx="1">
                  <c:v>种猪</c:v>
                </c:pt>
                <c:pt idx="2">
                  <c:v>奶牛</c:v>
                </c:pt>
                <c:pt idx="3">
                  <c:v>肉牛</c:v>
                </c:pt>
                <c:pt idx="4">
                  <c:v>肉羊</c:v>
                </c:pt>
                <c:pt idx="5">
                  <c:v>肉鸡</c:v>
                </c:pt>
                <c:pt idx="6">
                  <c:v>蛋鸡</c:v>
                </c:pt>
                <c:pt idx="7">
                  <c:v>肉鸭</c:v>
                </c:pt>
                <c:pt idx="8">
                  <c:v>肉鹅</c:v>
                </c:pt>
              </c:strCache>
            </c:strRef>
          </c:cat>
          <c:val>
            <c:numRef>
              <c:f>图表!$C$55:$C$63</c:f>
              <c:numCache>
                <c:formatCode>General</c:formatCode>
                <c:ptCount val="9"/>
                <c:pt idx="0">
                  <c:v>5086.62</c:v>
                </c:pt>
                <c:pt idx="1">
                  <c:v>678.9</c:v>
                </c:pt>
                <c:pt idx="2">
                  <c:v>27375</c:v>
                </c:pt>
                <c:pt idx="3">
                  <c:v>810.3</c:v>
                </c:pt>
                <c:pt idx="4">
                  <c:v>203.24</c:v>
                </c:pt>
                <c:pt idx="5">
                  <c:v>1262.25</c:v>
                </c:pt>
                <c:pt idx="6">
                  <c:v>192.72</c:v>
                </c:pt>
                <c:pt idx="7">
                  <c:v>990</c:v>
                </c:pt>
                <c:pt idx="8">
                  <c:v>1584</c:v>
                </c:pt>
              </c:numCache>
            </c:numRef>
          </c:val>
        </c:ser>
        <c:ser>
          <c:idx val="1"/>
          <c:order val="1"/>
          <c:tx>
            <c:strRef>
              <c:f>图表!$D$54</c:f>
              <c:strCache>
                <c:ptCount val="1"/>
                <c:pt idx="0">
                  <c:v>尿液产生量（t/a）</c:v>
                </c:pt>
              </c:strCache>
            </c:strRef>
          </c:tx>
          <c:invertIfNegative val="0"/>
          <c:dLbls>
            <c:delete val="1"/>
          </c:dLbls>
          <c:cat>
            <c:strRef>
              <c:f>图表!$B$55:$B$63</c:f>
              <c:strCache>
                <c:ptCount val="9"/>
                <c:pt idx="0">
                  <c:v>生猪</c:v>
                </c:pt>
                <c:pt idx="1">
                  <c:v>种猪</c:v>
                </c:pt>
                <c:pt idx="2">
                  <c:v>奶牛</c:v>
                </c:pt>
                <c:pt idx="3">
                  <c:v>肉牛</c:v>
                </c:pt>
                <c:pt idx="4">
                  <c:v>肉羊</c:v>
                </c:pt>
                <c:pt idx="5">
                  <c:v>肉鸡</c:v>
                </c:pt>
                <c:pt idx="6">
                  <c:v>蛋鸡</c:v>
                </c:pt>
                <c:pt idx="7">
                  <c:v>肉鸭</c:v>
                </c:pt>
                <c:pt idx="8">
                  <c:v>肉鹅</c:v>
                </c:pt>
              </c:strCache>
            </c:strRef>
          </c:cat>
          <c:val>
            <c:numRef>
              <c:f>图表!$D$55:$D$63</c:f>
              <c:numCache>
                <c:formatCode>General</c:formatCode>
                <c:ptCount val="9"/>
                <c:pt idx="0">
                  <c:v>11978.16</c:v>
                </c:pt>
                <c:pt idx="1">
                  <c:v>1719.88</c:v>
                </c:pt>
                <c:pt idx="2">
                  <c:v>12986.7</c:v>
                </c:pt>
                <c:pt idx="3">
                  <c:v>487.82</c:v>
                </c:pt>
                <c:pt idx="4">
                  <c:v>120.77</c:v>
                </c:pt>
                <c:pt idx="5">
                  <c:v>0</c:v>
                </c:pt>
                <c:pt idx="6">
                  <c:v>0</c:v>
                </c:pt>
                <c:pt idx="7">
                  <c:v>0</c:v>
                </c:pt>
                <c:pt idx="8">
                  <c:v>0</c:v>
                </c:pt>
              </c:numCache>
            </c:numRef>
          </c:val>
        </c:ser>
        <c:dLbls>
          <c:showLegendKey val="0"/>
          <c:showVal val="0"/>
          <c:showCatName val="0"/>
          <c:showSerName val="0"/>
          <c:showPercent val="0"/>
          <c:showBubbleSize val="0"/>
        </c:dLbls>
        <c:gapWidth val="150"/>
        <c:overlap val="100"/>
        <c:axId val="284202112"/>
        <c:axId val="284203648"/>
      </c:barChart>
      <c:catAx>
        <c:axId val="28420211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4203648"/>
        <c:crosses val="autoZero"/>
        <c:auto val="1"/>
        <c:lblAlgn val="ctr"/>
        <c:lblOffset val="100"/>
        <c:noMultiLvlLbl val="0"/>
      </c:catAx>
      <c:valAx>
        <c:axId val="28420364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4202112"/>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图表!$B$71</c:f>
              <c:strCache>
                <c:ptCount val="1"/>
                <c:pt idx="0">
                  <c:v>生猪</c:v>
                </c:pt>
              </c:strCache>
            </c:strRef>
          </c:tx>
          <c:invertIfNegative val="0"/>
          <c:dLbls>
            <c:delete val="1"/>
          </c:dLbls>
          <c:cat>
            <c:multiLvlStrRef>
              <c:f>图表!$C$69:$J$70</c:f>
              <c:multiLvlStrCache>
                <c:ptCount val="8"/>
                <c:lvl>
                  <c:pt idx="0">
                    <c:v>产生量</c:v>
                  </c:pt>
                  <c:pt idx="1">
                    <c:v>排放量</c:v>
                  </c:pt>
                  <c:pt idx="2">
                    <c:v>产生量</c:v>
                  </c:pt>
                  <c:pt idx="3">
                    <c:v>排放量</c:v>
                  </c:pt>
                  <c:pt idx="4">
                    <c:v>产生量</c:v>
                  </c:pt>
                  <c:pt idx="5">
                    <c:v>排放量</c:v>
                  </c:pt>
                  <c:pt idx="6">
                    <c:v>产生量</c:v>
                  </c:pt>
                  <c:pt idx="7">
                    <c:v>排放量</c:v>
                  </c:pt>
                </c:lvl>
                <c:lvl>
                  <c:pt idx="0">
                    <c:v>化学需氧量(吨)</c:v>
                  </c:pt>
                  <c:pt idx="2">
                    <c:v>总氮(吨)</c:v>
                  </c:pt>
                  <c:pt idx="4">
                    <c:v>氨氮(吨)</c:v>
                  </c:pt>
                  <c:pt idx="6">
                    <c:v>总磷(吨)</c:v>
                  </c:pt>
                </c:lvl>
              </c:multiLvlStrCache>
            </c:multiLvlStrRef>
          </c:cat>
          <c:val>
            <c:numRef>
              <c:f>图表!$C$71:$J$71</c:f>
              <c:numCache>
                <c:formatCode>General</c:formatCode>
                <c:ptCount val="8"/>
                <c:pt idx="0">
                  <c:v>2355.99</c:v>
                </c:pt>
                <c:pt idx="1">
                  <c:v>230.47</c:v>
                </c:pt>
                <c:pt idx="2">
                  <c:v>189.23</c:v>
                </c:pt>
                <c:pt idx="3">
                  <c:v>29.13</c:v>
                </c:pt>
                <c:pt idx="4">
                  <c:v>52.57</c:v>
                </c:pt>
                <c:pt idx="5">
                  <c:v>8.66</c:v>
                </c:pt>
                <c:pt idx="6">
                  <c:v>45.24</c:v>
                </c:pt>
                <c:pt idx="7">
                  <c:v>4.69</c:v>
                </c:pt>
              </c:numCache>
            </c:numRef>
          </c:val>
        </c:ser>
        <c:ser>
          <c:idx val="1"/>
          <c:order val="1"/>
          <c:tx>
            <c:strRef>
              <c:f>图表!$B$72</c:f>
              <c:strCache>
                <c:ptCount val="1"/>
                <c:pt idx="0">
                  <c:v>奶牛</c:v>
                </c:pt>
              </c:strCache>
            </c:strRef>
          </c:tx>
          <c:invertIfNegative val="0"/>
          <c:dLbls>
            <c:delete val="1"/>
          </c:dLbls>
          <c:cat>
            <c:multiLvlStrRef>
              <c:f>图表!$C$69:$J$70</c:f>
              <c:multiLvlStrCache>
                <c:ptCount val="8"/>
                <c:lvl>
                  <c:pt idx="0">
                    <c:v>产生量</c:v>
                  </c:pt>
                  <c:pt idx="1">
                    <c:v>排放量</c:v>
                  </c:pt>
                  <c:pt idx="2">
                    <c:v>产生量</c:v>
                  </c:pt>
                  <c:pt idx="3">
                    <c:v>排放量</c:v>
                  </c:pt>
                  <c:pt idx="4">
                    <c:v>产生量</c:v>
                  </c:pt>
                  <c:pt idx="5">
                    <c:v>排放量</c:v>
                  </c:pt>
                  <c:pt idx="6">
                    <c:v>产生量</c:v>
                  </c:pt>
                  <c:pt idx="7">
                    <c:v>排放量</c:v>
                  </c:pt>
                </c:lvl>
                <c:lvl>
                  <c:pt idx="0">
                    <c:v>化学需氧量(吨)</c:v>
                  </c:pt>
                  <c:pt idx="2">
                    <c:v>总氮(吨)</c:v>
                  </c:pt>
                  <c:pt idx="4">
                    <c:v>氨氮(吨)</c:v>
                  </c:pt>
                  <c:pt idx="6">
                    <c:v>总磷(吨)</c:v>
                  </c:pt>
                </c:lvl>
              </c:multiLvlStrCache>
            </c:multiLvlStrRef>
          </c:cat>
          <c:val>
            <c:numRef>
              <c:f>图表!$C$72:$J$72</c:f>
              <c:numCache>
                <c:formatCode>General</c:formatCode>
                <c:ptCount val="8"/>
                <c:pt idx="0">
                  <c:v>5088.99</c:v>
                </c:pt>
                <c:pt idx="1">
                  <c:v>336.52</c:v>
                </c:pt>
                <c:pt idx="2">
                  <c:v>187.43</c:v>
                </c:pt>
                <c:pt idx="3">
                  <c:v>23.69</c:v>
                </c:pt>
                <c:pt idx="4">
                  <c:v>12.19</c:v>
                </c:pt>
                <c:pt idx="5">
                  <c:v>1.73</c:v>
                </c:pt>
                <c:pt idx="6">
                  <c:v>28.22</c:v>
                </c:pt>
                <c:pt idx="7">
                  <c:v>1.92</c:v>
                </c:pt>
              </c:numCache>
            </c:numRef>
          </c:val>
        </c:ser>
        <c:ser>
          <c:idx val="2"/>
          <c:order val="2"/>
          <c:tx>
            <c:strRef>
              <c:f>图表!$B$73</c:f>
              <c:strCache>
                <c:ptCount val="1"/>
                <c:pt idx="0">
                  <c:v>蛋鸡</c:v>
                </c:pt>
              </c:strCache>
            </c:strRef>
          </c:tx>
          <c:invertIfNegative val="0"/>
          <c:dLbls>
            <c:delete val="1"/>
          </c:dLbls>
          <c:cat>
            <c:multiLvlStrRef>
              <c:f>图表!$C$69:$J$70</c:f>
              <c:multiLvlStrCache>
                <c:ptCount val="8"/>
                <c:lvl>
                  <c:pt idx="0">
                    <c:v>产生量</c:v>
                  </c:pt>
                  <c:pt idx="1">
                    <c:v>排放量</c:v>
                  </c:pt>
                  <c:pt idx="2">
                    <c:v>产生量</c:v>
                  </c:pt>
                  <c:pt idx="3">
                    <c:v>排放量</c:v>
                  </c:pt>
                  <c:pt idx="4">
                    <c:v>产生量</c:v>
                  </c:pt>
                  <c:pt idx="5">
                    <c:v>排放量</c:v>
                  </c:pt>
                  <c:pt idx="6">
                    <c:v>产生量</c:v>
                  </c:pt>
                  <c:pt idx="7">
                    <c:v>排放量</c:v>
                  </c:pt>
                </c:lvl>
                <c:lvl>
                  <c:pt idx="0">
                    <c:v>化学需氧量(吨)</c:v>
                  </c:pt>
                  <c:pt idx="2">
                    <c:v>总氮(吨)</c:v>
                  </c:pt>
                  <c:pt idx="4">
                    <c:v>氨氮(吨)</c:v>
                  </c:pt>
                  <c:pt idx="6">
                    <c:v>总磷(吨)</c:v>
                  </c:pt>
                </c:lvl>
              </c:multiLvlStrCache>
            </c:multiLvlStrRef>
          </c:cat>
          <c:val>
            <c:numRef>
              <c:f>图表!$C$73:$J$73</c:f>
              <c:numCache>
                <c:formatCode>General</c:formatCode>
                <c:ptCount val="8"/>
                <c:pt idx="0">
                  <c:v>59.51</c:v>
                </c:pt>
                <c:pt idx="1">
                  <c:v>1.99</c:v>
                </c:pt>
                <c:pt idx="2">
                  <c:v>2.94</c:v>
                </c:pt>
                <c:pt idx="3">
                  <c:v>0.12</c:v>
                </c:pt>
                <c:pt idx="4">
                  <c:v>0.23</c:v>
                </c:pt>
                <c:pt idx="5">
                  <c:v>0.0091</c:v>
                </c:pt>
                <c:pt idx="6">
                  <c:v>0.84</c:v>
                </c:pt>
                <c:pt idx="7">
                  <c:v>0.0302</c:v>
                </c:pt>
              </c:numCache>
            </c:numRef>
          </c:val>
        </c:ser>
        <c:dLbls>
          <c:showLegendKey val="0"/>
          <c:showVal val="0"/>
          <c:showCatName val="0"/>
          <c:showSerName val="0"/>
          <c:showPercent val="0"/>
          <c:showBubbleSize val="0"/>
        </c:dLbls>
        <c:gapWidth val="150"/>
        <c:overlap val="100"/>
        <c:axId val="284225920"/>
        <c:axId val="284227456"/>
      </c:barChart>
      <c:catAx>
        <c:axId val="28422592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4227456"/>
        <c:crosses val="autoZero"/>
        <c:auto val="1"/>
        <c:lblAlgn val="ctr"/>
        <c:lblOffset val="100"/>
        <c:noMultiLvlLbl val="0"/>
      </c:catAx>
      <c:valAx>
        <c:axId val="28422745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4225920"/>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图表!$B$92</c:f>
              <c:strCache>
                <c:ptCount val="1"/>
                <c:pt idx="0">
                  <c:v>生猪</c:v>
                </c:pt>
              </c:strCache>
            </c:strRef>
          </c:tx>
          <c:invertIfNegative val="0"/>
          <c:dLbls>
            <c:delete val="1"/>
          </c:dLbls>
          <c:cat>
            <c:multiLvlStrRef>
              <c:f>图表!$C$90:$J$91</c:f>
              <c:multiLvlStrCache>
                <c:ptCount val="8"/>
                <c:lvl>
                  <c:pt idx="0">
                    <c:v>产生量</c:v>
                  </c:pt>
                  <c:pt idx="1">
                    <c:v>排放量</c:v>
                  </c:pt>
                  <c:pt idx="2">
                    <c:v>产生量</c:v>
                  </c:pt>
                  <c:pt idx="3">
                    <c:v>排放量</c:v>
                  </c:pt>
                  <c:pt idx="4">
                    <c:v>产生量</c:v>
                  </c:pt>
                  <c:pt idx="5">
                    <c:v>排放量</c:v>
                  </c:pt>
                  <c:pt idx="6">
                    <c:v>产生量</c:v>
                  </c:pt>
                  <c:pt idx="7">
                    <c:v>排放量</c:v>
                  </c:pt>
                </c:lvl>
                <c:lvl>
                  <c:pt idx="0">
                    <c:v>化学需氧量(吨)</c:v>
                  </c:pt>
                  <c:pt idx="2">
                    <c:v>总氮(吨)</c:v>
                  </c:pt>
                  <c:pt idx="4">
                    <c:v>氨氮(吨)</c:v>
                  </c:pt>
                  <c:pt idx="6">
                    <c:v>总磷(吨)</c:v>
                  </c:pt>
                </c:lvl>
              </c:multiLvlStrCache>
            </c:multiLvlStrRef>
          </c:cat>
          <c:val>
            <c:numRef>
              <c:f>图表!$C$92:$J$92</c:f>
              <c:numCache>
                <c:formatCode>General</c:formatCode>
                <c:ptCount val="8"/>
                <c:pt idx="0">
                  <c:v>749.41</c:v>
                </c:pt>
                <c:pt idx="1">
                  <c:v>66</c:v>
                </c:pt>
                <c:pt idx="2">
                  <c:v>34.74</c:v>
                </c:pt>
                <c:pt idx="3">
                  <c:v>3.77</c:v>
                </c:pt>
                <c:pt idx="4">
                  <c:v>3.97</c:v>
                </c:pt>
                <c:pt idx="5">
                  <c:v>0.42</c:v>
                </c:pt>
                <c:pt idx="6">
                  <c:v>11.91</c:v>
                </c:pt>
                <c:pt idx="7">
                  <c:v>1</c:v>
                </c:pt>
              </c:numCache>
            </c:numRef>
          </c:val>
        </c:ser>
        <c:ser>
          <c:idx val="1"/>
          <c:order val="1"/>
          <c:tx>
            <c:strRef>
              <c:f>图表!$B$93</c:f>
              <c:strCache>
                <c:ptCount val="1"/>
                <c:pt idx="0">
                  <c:v>肉牛</c:v>
                </c:pt>
              </c:strCache>
            </c:strRef>
          </c:tx>
          <c:invertIfNegative val="0"/>
          <c:dLbls>
            <c:delete val="1"/>
          </c:dLbls>
          <c:cat>
            <c:multiLvlStrRef>
              <c:f>图表!$C$90:$J$91</c:f>
              <c:multiLvlStrCache>
                <c:ptCount val="8"/>
                <c:lvl>
                  <c:pt idx="0">
                    <c:v>产生量</c:v>
                  </c:pt>
                  <c:pt idx="1">
                    <c:v>排放量</c:v>
                  </c:pt>
                  <c:pt idx="2">
                    <c:v>产生量</c:v>
                  </c:pt>
                  <c:pt idx="3">
                    <c:v>排放量</c:v>
                  </c:pt>
                  <c:pt idx="4">
                    <c:v>产生量</c:v>
                  </c:pt>
                  <c:pt idx="5">
                    <c:v>排放量</c:v>
                  </c:pt>
                  <c:pt idx="6">
                    <c:v>产生量</c:v>
                  </c:pt>
                  <c:pt idx="7">
                    <c:v>排放量</c:v>
                  </c:pt>
                </c:lvl>
                <c:lvl>
                  <c:pt idx="0">
                    <c:v>化学需氧量(吨)</c:v>
                  </c:pt>
                  <c:pt idx="2">
                    <c:v>总氮(吨)</c:v>
                  </c:pt>
                  <c:pt idx="4">
                    <c:v>氨氮(吨)</c:v>
                  </c:pt>
                  <c:pt idx="6">
                    <c:v>总磷(吨)</c:v>
                  </c:pt>
                </c:lvl>
              </c:multiLvlStrCache>
            </c:multiLvlStrRef>
          </c:cat>
          <c:val>
            <c:numRef>
              <c:f>图表!$C$93:$J$93</c:f>
              <c:numCache>
                <c:formatCode>General</c:formatCode>
                <c:ptCount val="8"/>
                <c:pt idx="0">
                  <c:v>279.06</c:v>
                </c:pt>
                <c:pt idx="1">
                  <c:v>24.61</c:v>
                </c:pt>
                <c:pt idx="2">
                  <c:v>6.84</c:v>
                </c:pt>
                <c:pt idx="3">
                  <c:v>0.83</c:v>
                </c:pt>
                <c:pt idx="4">
                  <c:v>0.48</c:v>
                </c:pt>
                <c:pt idx="5">
                  <c:v>0.05</c:v>
                </c:pt>
                <c:pt idx="6">
                  <c:v>1.13</c:v>
                </c:pt>
                <c:pt idx="7">
                  <c:v>0.12</c:v>
                </c:pt>
              </c:numCache>
            </c:numRef>
          </c:val>
        </c:ser>
        <c:ser>
          <c:idx val="2"/>
          <c:order val="2"/>
          <c:tx>
            <c:strRef>
              <c:f>图表!$B$94</c:f>
              <c:strCache>
                <c:ptCount val="1"/>
                <c:pt idx="0">
                  <c:v>肉羊</c:v>
                </c:pt>
              </c:strCache>
            </c:strRef>
          </c:tx>
          <c:invertIfNegative val="0"/>
          <c:dLbls>
            <c:delete val="1"/>
          </c:dLbls>
          <c:cat>
            <c:multiLvlStrRef>
              <c:f>图表!$C$90:$J$91</c:f>
              <c:multiLvlStrCache>
                <c:ptCount val="8"/>
                <c:lvl>
                  <c:pt idx="0">
                    <c:v>产生量</c:v>
                  </c:pt>
                  <c:pt idx="1">
                    <c:v>排放量</c:v>
                  </c:pt>
                  <c:pt idx="2">
                    <c:v>产生量</c:v>
                  </c:pt>
                  <c:pt idx="3">
                    <c:v>排放量</c:v>
                  </c:pt>
                  <c:pt idx="4">
                    <c:v>产生量</c:v>
                  </c:pt>
                  <c:pt idx="5">
                    <c:v>排放量</c:v>
                  </c:pt>
                  <c:pt idx="6">
                    <c:v>产生量</c:v>
                  </c:pt>
                  <c:pt idx="7">
                    <c:v>排放量</c:v>
                  </c:pt>
                </c:lvl>
                <c:lvl>
                  <c:pt idx="0">
                    <c:v>化学需氧量(吨)</c:v>
                  </c:pt>
                  <c:pt idx="2">
                    <c:v>总氮(吨)</c:v>
                  </c:pt>
                  <c:pt idx="4">
                    <c:v>氨氮(吨)</c:v>
                  </c:pt>
                  <c:pt idx="6">
                    <c:v>总磷(吨)</c:v>
                  </c:pt>
                </c:lvl>
              </c:multiLvlStrCache>
            </c:multiLvlStrRef>
          </c:cat>
          <c:val>
            <c:numRef>
              <c:f>图表!$C$94:$J$94</c:f>
              <c:numCache>
                <c:formatCode>General</c:formatCode>
                <c:ptCount val="8"/>
                <c:pt idx="0">
                  <c:v>24.37</c:v>
                </c:pt>
                <c:pt idx="1">
                  <c:v>2.15</c:v>
                </c:pt>
                <c:pt idx="2">
                  <c:v>1.13</c:v>
                </c:pt>
                <c:pt idx="3">
                  <c:v>0.12</c:v>
                </c:pt>
                <c:pt idx="4">
                  <c:v>0.13</c:v>
                </c:pt>
                <c:pt idx="5">
                  <c:v>0.01</c:v>
                </c:pt>
                <c:pt idx="6">
                  <c:v>0.39</c:v>
                </c:pt>
                <c:pt idx="7">
                  <c:v>0.03</c:v>
                </c:pt>
              </c:numCache>
            </c:numRef>
          </c:val>
        </c:ser>
        <c:ser>
          <c:idx val="3"/>
          <c:order val="3"/>
          <c:tx>
            <c:strRef>
              <c:f>图表!$B$95</c:f>
              <c:strCache>
                <c:ptCount val="1"/>
                <c:pt idx="0">
                  <c:v>肉鸡</c:v>
                </c:pt>
              </c:strCache>
            </c:strRef>
          </c:tx>
          <c:invertIfNegative val="0"/>
          <c:dLbls>
            <c:delete val="1"/>
          </c:dLbls>
          <c:cat>
            <c:multiLvlStrRef>
              <c:f>图表!$C$90:$J$91</c:f>
              <c:multiLvlStrCache>
                <c:ptCount val="8"/>
                <c:lvl>
                  <c:pt idx="0">
                    <c:v>产生量</c:v>
                  </c:pt>
                  <c:pt idx="1">
                    <c:v>排放量</c:v>
                  </c:pt>
                  <c:pt idx="2">
                    <c:v>产生量</c:v>
                  </c:pt>
                  <c:pt idx="3">
                    <c:v>排放量</c:v>
                  </c:pt>
                  <c:pt idx="4">
                    <c:v>产生量</c:v>
                  </c:pt>
                  <c:pt idx="5">
                    <c:v>排放量</c:v>
                  </c:pt>
                  <c:pt idx="6">
                    <c:v>产生量</c:v>
                  </c:pt>
                  <c:pt idx="7">
                    <c:v>排放量</c:v>
                  </c:pt>
                </c:lvl>
                <c:lvl>
                  <c:pt idx="0">
                    <c:v>化学需氧量(吨)</c:v>
                  </c:pt>
                  <c:pt idx="2">
                    <c:v>总氮(吨)</c:v>
                  </c:pt>
                  <c:pt idx="4">
                    <c:v>氨氮(吨)</c:v>
                  </c:pt>
                  <c:pt idx="6">
                    <c:v>总磷(吨)</c:v>
                  </c:pt>
                </c:lvl>
              </c:multiLvlStrCache>
            </c:multiLvlStrRef>
          </c:cat>
          <c:val>
            <c:numRef>
              <c:f>图表!$C$95:$J$95</c:f>
              <c:numCache>
                <c:formatCode>General</c:formatCode>
                <c:ptCount val="8"/>
                <c:pt idx="0">
                  <c:v>280.5</c:v>
                </c:pt>
                <c:pt idx="1">
                  <c:v>22.73</c:v>
                </c:pt>
                <c:pt idx="2">
                  <c:v>12.75</c:v>
                </c:pt>
                <c:pt idx="3">
                  <c:v>1.13</c:v>
                </c:pt>
                <c:pt idx="4">
                  <c:v>1.275</c:v>
                </c:pt>
                <c:pt idx="5">
                  <c:v>0.11</c:v>
                </c:pt>
                <c:pt idx="6">
                  <c:v>2.55</c:v>
                </c:pt>
                <c:pt idx="7">
                  <c:v>0.23</c:v>
                </c:pt>
              </c:numCache>
            </c:numRef>
          </c:val>
        </c:ser>
        <c:ser>
          <c:idx val="4"/>
          <c:order val="4"/>
          <c:tx>
            <c:strRef>
              <c:f>图表!$B$96</c:f>
              <c:strCache>
                <c:ptCount val="1"/>
                <c:pt idx="0">
                  <c:v>肉鸭</c:v>
                </c:pt>
              </c:strCache>
            </c:strRef>
          </c:tx>
          <c:invertIfNegative val="0"/>
          <c:dLbls>
            <c:delete val="1"/>
          </c:dLbls>
          <c:cat>
            <c:multiLvlStrRef>
              <c:f>图表!$C$90:$J$91</c:f>
              <c:multiLvlStrCache>
                <c:ptCount val="8"/>
                <c:lvl>
                  <c:pt idx="0">
                    <c:v>产生量</c:v>
                  </c:pt>
                  <c:pt idx="1">
                    <c:v>排放量</c:v>
                  </c:pt>
                  <c:pt idx="2">
                    <c:v>产生量</c:v>
                  </c:pt>
                  <c:pt idx="3">
                    <c:v>排放量</c:v>
                  </c:pt>
                  <c:pt idx="4">
                    <c:v>产生量</c:v>
                  </c:pt>
                  <c:pt idx="5">
                    <c:v>排放量</c:v>
                  </c:pt>
                  <c:pt idx="6">
                    <c:v>产生量</c:v>
                  </c:pt>
                  <c:pt idx="7">
                    <c:v>排放量</c:v>
                  </c:pt>
                </c:lvl>
                <c:lvl>
                  <c:pt idx="0">
                    <c:v>化学需氧量(吨)</c:v>
                  </c:pt>
                  <c:pt idx="2">
                    <c:v>总氮(吨)</c:v>
                  </c:pt>
                  <c:pt idx="4">
                    <c:v>氨氮(吨)</c:v>
                  </c:pt>
                  <c:pt idx="6">
                    <c:v>总磷(吨)</c:v>
                  </c:pt>
                </c:lvl>
              </c:multiLvlStrCache>
            </c:multiLvlStrRef>
          </c:cat>
          <c:val>
            <c:numRef>
              <c:f>图表!$C$96:$J$96</c:f>
              <c:numCache>
                <c:formatCode>General</c:formatCode>
                <c:ptCount val="8"/>
                <c:pt idx="0">
                  <c:v>456.5</c:v>
                </c:pt>
                <c:pt idx="1">
                  <c:v>37</c:v>
                </c:pt>
                <c:pt idx="2">
                  <c:v>20.75</c:v>
                </c:pt>
                <c:pt idx="3">
                  <c:v>1.85</c:v>
                </c:pt>
                <c:pt idx="4">
                  <c:v>2.075</c:v>
                </c:pt>
                <c:pt idx="5">
                  <c:v>0.19</c:v>
                </c:pt>
                <c:pt idx="6">
                  <c:v>4.15</c:v>
                </c:pt>
                <c:pt idx="7">
                  <c:v>0.3735</c:v>
                </c:pt>
              </c:numCache>
            </c:numRef>
          </c:val>
        </c:ser>
        <c:ser>
          <c:idx val="5"/>
          <c:order val="5"/>
          <c:tx>
            <c:strRef>
              <c:f>图表!$B$97</c:f>
              <c:strCache>
                <c:ptCount val="1"/>
                <c:pt idx="0">
                  <c:v>鹅</c:v>
                </c:pt>
              </c:strCache>
            </c:strRef>
          </c:tx>
          <c:invertIfNegative val="0"/>
          <c:dLbls>
            <c:delete val="1"/>
          </c:dLbls>
          <c:cat>
            <c:multiLvlStrRef>
              <c:f>图表!$C$90:$J$91</c:f>
              <c:multiLvlStrCache>
                <c:ptCount val="8"/>
                <c:lvl>
                  <c:pt idx="0">
                    <c:v>产生量</c:v>
                  </c:pt>
                  <c:pt idx="1">
                    <c:v>排放量</c:v>
                  </c:pt>
                  <c:pt idx="2">
                    <c:v>产生量</c:v>
                  </c:pt>
                  <c:pt idx="3">
                    <c:v>排放量</c:v>
                  </c:pt>
                  <c:pt idx="4">
                    <c:v>产生量</c:v>
                  </c:pt>
                  <c:pt idx="5">
                    <c:v>排放量</c:v>
                  </c:pt>
                  <c:pt idx="6">
                    <c:v>产生量</c:v>
                  </c:pt>
                  <c:pt idx="7">
                    <c:v>排放量</c:v>
                  </c:pt>
                </c:lvl>
                <c:lvl>
                  <c:pt idx="0">
                    <c:v>化学需氧量(吨)</c:v>
                  </c:pt>
                  <c:pt idx="2">
                    <c:v>总氮(吨)</c:v>
                  </c:pt>
                  <c:pt idx="4">
                    <c:v>氨氮(吨)</c:v>
                  </c:pt>
                  <c:pt idx="6">
                    <c:v>总磷(吨)</c:v>
                  </c:pt>
                </c:lvl>
              </c:multiLvlStrCache>
            </c:multiLvlStrRef>
          </c:cat>
          <c:val>
            <c:numRef>
              <c:f>图表!$C$97:$J$97</c:f>
              <c:numCache>
                <c:formatCode>General</c:formatCode>
                <c:ptCount val="8"/>
                <c:pt idx="0">
                  <c:v>352</c:v>
                </c:pt>
                <c:pt idx="1">
                  <c:v>28.528</c:v>
                </c:pt>
                <c:pt idx="2">
                  <c:v>16</c:v>
                </c:pt>
                <c:pt idx="3">
                  <c:v>1.424</c:v>
                </c:pt>
                <c:pt idx="4">
                  <c:v>1.6</c:v>
                </c:pt>
                <c:pt idx="5">
                  <c:v>0.144</c:v>
                </c:pt>
                <c:pt idx="6">
                  <c:v>3.2</c:v>
                </c:pt>
                <c:pt idx="7">
                  <c:v>0.288</c:v>
                </c:pt>
              </c:numCache>
            </c:numRef>
          </c:val>
        </c:ser>
        <c:dLbls>
          <c:showLegendKey val="0"/>
          <c:showVal val="0"/>
          <c:showCatName val="0"/>
          <c:showSerName val="0"/>
          <c:showPercent val="0"/>
          <c:showBubbleSize val="0"/>
        </c:dLbls>
        <c:gapWidth val="150"/>
        <c:overlap val="100"/>
        <c:axId val="285915008"/>
        <c:axId val="285916544"/>
      </c:barChart>
      <c:catAx>
        <c:axId val="28591500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5916544"/>
        <c:crosses val="autoZero"/>
        <c:auto val="1"/>
        <c:lblAlgn val="ctr"/>
        <c:lblOffset val="100"/>
        <c:noMultiLvlLbl val="0"/>
      </c:catAx>
      <c:valAx>
        <c:axId val="28591654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5915008"/>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488407699038"/>
          <c:y val="0.0745487022455526"/>
          <c:w val="0.610999125109361"/>
          <c:h val="0.50789005540974"/>
        </c:manualLayout>
      </c:layout>
      <c:barChart>
        <c:barDir val="col"/>
        <c:grouping val="clustered"/>
        <c:varyColors val="0"/>
        <c:ser>
          <c:idx val="0"/>
          <c:order val="0"/>
          <c:tx>
            <c:strRef>
              <c:f>图表!$B$112</c:f>
              <c:strCache>
                <c:ptCount val="1"/>
                <c:pt idx="0">
                  <c:v>规模化养殖场</c:v>
                </c:pt>
              </c:strCache>
            </c:strRef>
          </c:tx>
          <c:invertIfNegative val="0"/>
          <c:dLbls>
            <c:delete val="1"/>
          </c:dLbls>
          <c:cat>
            <c:multiLvlStrRef>
              <c:f>图表!$C$110:$F$111</c:f>
              <c:multiLvlStrCache>
                <c:ptCount val="4"/>
                <c:lvl>
                  <c:pt idx="0">
                    <c:v>产生（吨）</c:v>
                  </c:pt>
                  <c:pt idx="1">
                    <c:v>（吨）</c:v>
                  </c:pt>
                  <c:pt idx="2">
                    <c:v>（吨）</c:v>
                  </c:pt>
                  <c:pt idx="3">
                    <c:v>（吨）</c:v>
                  </c:pt>
                </c:lvl>
                <c:lvl>
                  <c:pt idx="0">
                    <c:v>化学需氧量</c:v>
                  </c:pt>
                  <c:pt idx="1">
                    <c:v>总氮产生</c:v>
                  </c:pt>
                  <c:pt idx="2">
                    <c:v>氨氮产生</c:v>
                  </c:pt>
                  <c:pt idx="3">
                    <c:v>总磷产生</c:v>
                  </c:pt>
                </c:lvl>
              </c:multiLvlStrCache>
            </c:multiLvlStrRef>
          </c:cat>
          <c:val>
            <c:numRef>
              <c:f>图表!$C$112:$F$112</c:f>
              <c:numCache>
                <c:formatCode>General</c:formatCode>
                <c:ptCount val="4"/>
                <c:pt idx="0">
                  <c:v>7504.49</c:v>
                </c:pt>
                <c:pt idx="1">
                  <c:v>379.6</c:v>
                </c:pt>
                <c:pt idx="2">
                  <c:v>64.98</c:v>
                </c:pt>
                <c:pt idx="3">
                  <c:v>74.3</c:v>
                </c:pt>
              </c:numCache>
            </c:numRef>
          </c:val>
        </c:ser>
        <c:ser>
          <c:idx val="1"/>
          <c:order val="1"/>
          <c:tx>
            <c:strRef>
              <c:f>图表!$B$113</c:f>
              <c:strCache>
                <c:ptCount val="1"/>
                <c:pt idx="0">
                  <c:v>规模以下专业户</c:v>
                </c:pt>
              </c:strCache>
            </c:strRef>
          </c:tx>
          <c:invertIfNegative val="0"/>
          <c:dLbls>
            <c:delete val="1"/>
          </c:dLbls>
          <c:cat>
            <c:multiLvlStrRef>
              <c:f>图表!$C$110:$F$111</c:f>
              <c:multiLvlStrCache>
                <c:ptCount val="4"/>
                <c:lvl>
                  <c:pt idx="0">
                    <c:v>产生（吨）</c:v>
                  </c:pt>
                  <c:pt idx="1">
                    <c:v>（吨）</c:v>
                  </c:pt>
                  <c:pt idx="2">
                    <c:v>（吨）</c:v>
                  </c:pt>
                  <c:pt idx="3">
                    <c:v>（吨）</c:v>
                  </c:pt>
                </c:lvl>
                <c:lvl>
                  <c:pt idx="0">
                    <c:v>化学需氧量</c:v>
                  </c:pt>
                  <c:pt idx="1">
                    <c:v>总氮产生</c:v>
                  </c:pt>
                  <c:pt idx="2">
                    <c:v>氨氮产生</c:v>
                  </c:pt>
                  <c:pt idx="3">
                    <c:v>总磷产生</c:v>
                  </c:pt>
                </c:lvl>
              </c:multiLvlStrCache>
            </c:multiLvlStrRef>
          </c:cat>
          <c:val>
            <c:numRef>
              <c:f>图表!$C$113:$F$113</c:f>
              <c:numCache>
                <c:formatCode>General</c:formatCode>
                <c:ptCount val="4"/>
                <c:pt idx="0">
                  <c:v>2141.84</c:v>
                </c:pt>
                <c:pt idx="1">
                  <c:v>92.21</c:v>
                </c:pt>
                <c:pt idx="2">
                  <c:v>9.53</c:v>
                </c:pt>
                <c:pt idx="3">
                  <c:v>23.32</c:v>
                </c:pt>
              </c:numCache>
            </c:numRef>
          </c:val>
        </c:ser>
        <c:dLbls>
          <c:showLegendKey val="0"/>
          <c:showVal val="0"/>
          <c:showCatName val="0"/>
          <c:showSerName val="0"/>
          <c:showPercent val="0"/>
          <c:showBubbleSize val="0"/>
        </c:dLbls>
        <c:gapWidth val="150"/>
        <c:axId val="285929856"/>
        <c:axId val="285931392"/>
      </c:barChart>
      <c:catAx>
        <c:axId val="28592985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5931392"/>
        <c:crosses val="autoZero"/>
        <c:auto val="1"/>
        <c:lblAlgn val="ctr"/>
        <c:lblOffset val="100"/>
        <c:noMultiLvlLbl val="0"/>
      </c:catAx>
      <c:valAx>
        <c:axId val="28593139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5929856"/>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图表!$B$123</c:f>
              <c:strCache>
                <c:ptCount val="1"/>
                <c:pt idx="0">
                  <c:v>规模化养殖场</c:v>
                </c:pt>
              </c:strCache>
            </c:strRef>
          </c:tx>
          <c:invertIfNegative val="0"/>
          <c:dLbls>
            <c:delete val="1"/>
          </c:dLbls>
          <c:cat>
            <c:strRef>
              <c:f>图表!$C$122:$F$122</c:f>
              <c:strCache>
                <c:ptCount val="4"/>
                <c:pt idx="0">
                  <c:v>化学需氧量产生（吨）</c:v>
                </c:pt>
                <c:pt idx="1">
                  <c:v>总氮产生（吨）</c:v>
                </c:pt>
                <c:pt idx="2">
                  <c:v>氨氮产生（吨）</c:v>
                </c:pt>
                <c:pt idx="3">
                  <c:v>总磷产生（吨）</c:v>
                </c:pt>
              </c:strCache>
            </c:strRef>
          </c:cat>
          <c:val>
            <c:numRef>
              <c:f>图表!$C$123:$F$123</c:f>
              <c:numCache>
                <c:formatCode>General</c:formatCode>
                <c:ptCount val="4"/>
                <c:pt idx="0">
                  <c:v>568.98</c:v>
                </c:pt>
                <c:pt idx="1">
                  <c:v>52.93</c:v>
                </c:pt>
                <c:pt idx="2">
                  <c:v>10.39</c:v>
                </c:pt>
                <c:pt idx="3">
                  <c:v>6.64</c:v>
                </c:pt>
              </c:numCache>
            </c:numRef>
          </c:val>
        </c:ser>
        <c:ser>
          <c:idx val="1"/>
          <c:order val="1"/>
          <c:tx>
            <c:strRef>
              <c:f>图表!$B$124</c:f>
              <c:strCache>
                <c:ptCount val="1"/>
                <c:pt idx="0">
                  <c:v>规模以下专业户</c:v>
                </c:pt>
              </c:strCache>
            </c:strRef>
          </c:tx>
          <c:invertIfNegative val="0"/>
          <c:dLbls>
            <c:delete val="1"/>
          </c:dLbls>
          <c:cat>
            <c:strRef>
              <c:f>图表!$C$122:$F$122</c:f>
              <c:strCache>
                <c:ptCount val="4"/>
                <c:pt idx="0">
                  <c:v>化学需氧量产生（吨）</c:v>
                </c:pt>
                <c:pt idx="1">
                  <c:v>总氮产生（吨）</c:v>
                </c:pt>
                <c:pt idx="2">
                  <c:v>氨氮产生（吨）</c:v>
                </c:pt>
                <c:pt idx="3">
                  <c:v>总磷产生（吨）</c:v>
                </c:pt>
              </c:strCache>
            </c:strRef>
          </c:cat>
          <c:val>
            <c:numRef>
              <c:f>图表!$C$124:$F$124</c:f>
              <c:numCache>
                <c:formatCode>General</c:formatCode>
                <c:ptCount val="4"/>
                <c:pt idx="0">
                  <c:v>181.02</c:v>
                </c:pt>
                <c:pt idx="1">
                  <c:v>9.12</c:v>
                </c:pt>
                <c:pt idx="2">
                  <c:v>0.93</c:v>
                </c:pt>
                <c:pt idx="3">
                  <c:v>2.04</c:v>
                </c:pt>
              </c:numCache>
            </c:numRef>
          </c:val>
        </c:ser>
        <c:dLbls>
          <c:showLegendKey val="0"/>
          <c:showVal val="0"/>
          <c:showCatName val="0"/>
          <c:showSerName val="0"/>
          <c:showPercent val="0"/>
          <c:showBubbleSize val="0"/>
        </c:dLbls>
        <c:gapWidth val="150"/>
        <c:axId val="287971968"/>
        <c:axId val="287973760"/>
      </c:barChart>
      <c:catAx>
        <c:axId val="28797196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7973760"/>
        <c:crosses val="autoZero"/>
        <c:auto val="1"/>
        <c:lblAlgn val="ctr"/>
        <c:lblOffset val="100"/>
        <c:noMultiLvlLbl val="0"/>
      </c:catAx>
      <c:valAx>
        <c:axId val="28797376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7971968"/>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1914A-BD27-4AC3-BA40-8565D6CB2A6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115</Pages>
  <Words>39205</Words>
  <Characters>46277</Characters>
  <Lines>391</Lines>
  <Paragraphs>110</Paragraphs>
  <TotalTime>8</TotalTime>
  <ScaleCrop>false</ScaleCrop>
  <LinksUpToDate>false</LinksUpToDate>
  <CharactersWithSpaces>46558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2023-06-29T00:28:00Z</dcterms:created>
  <dc:creator>Windows 用户</dc:creator>
  <cp:lastModifiedBy>陈蓓</cp:lastModifiedBy>
  <cp:lastPrinted>2023-07-03T06:56:00Z</cp:lastPrinted>
  <dcterms:modified xsi:type="dcterms:W3CDTF">2023-07-04T01:25:12Z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CCC4CBED14C24570829EC22EDEB60C40</vt:lpwstr>
  </property>
</Properties>
</file>