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bookmarkStart w:id="0" w:name="_GoBack"/>
      <w:r>
        <w:rPr>
          <w:rFonts w:hint="eastAsia" w:ascii="方正小标宋简体" w:hAnsi="方正小标宋简体" w:eastAsia="方正小标宋简体" w:cs="方正小标宋简体"/>
          <w:b/>
          <w:bCs/>
          <w:sz w:val="44"/>
          <w:szCs w:val="44"/>
          <w:lang w:eastAsia="zh-CN"/>
        </w:rPr>
        <w:t>济宁太白湖新区管委会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关于</w:t>
      </w:r>
      <w:r>
        <w:rPr>
          <w:rFonts w:hint="eastAsia" w:ascii="方正小标宋简体" w:hAnsi="方正小标宋简体" w:eastAsia="方正小标宋简体" w:cs="方正小标宋简体"/>
          <w:b/>
          <w:bCs/>
          <w:color w:val="auto"/>
          <w:sz w:val="44"/>
          <w:szCs w:val="44"/>
          <w:lang w:eastAsia="zh-CN"/>
        </w:rPr>
        <w:t>公布行政规范性文件清理结果的</w:t>
      </w:r>
      <w:r>
        <w:rPr>
          <w:rFonts w:hint="eastAsia" w:ascii="方正小标宋简体" w:hAnsi="方正小标宋简体" w:eastAsia="方正小标宋简体" w:cs="方正小标宋简体"/>
          <w:b/>
          <w:bCs/>
          <w:sz w:val="44"/>
          <w:szCs w:val="44"/>
          <w:lang w:eastAsia="zh-CN"/>
        </w:rPr>
        <w:t>通知</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简体" w:hAnsi="方正楷体简体" w:eastAsia="方正楷体简体" w:cs="方正楷体简体"/>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石桥镇人民政府、许庄街道办事处，区属各部门、驻区各单位：</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color w:val="auto"/>
          <w:sz w:val="32"/>
          <w:szCs w:val="32"/>
          <w:lang w:eastAsia="zh-CN"/>
        </w:rPr>
      </w:pPr>
      <w:r>
        <w:rPr>
          <w:rFonts w:hint="eastAsia" w:ascii="方正仿宋简体" w:hAnsi="方正仿宋简体" w:eastAsia="方正仿宋简体" w:cs="方正仿宋简体"/>
          <w:b/>
          <w:bCs/>
          <w:color w:val="auto"/>
          <w:sz w:val="32"/>
          <w:szCs w:val="32"/>
          <w:lang w:eastAsia="zh-CN"/>
        </w:rPr>
        <w:t>为贯彻落实中共中央、国务院《法治政府建设纲要（</w:t>
      </w:r>
      <w:r>
        <w:rPr>
          <w:rFonts w:hint="eastAsia" w:ascii="方正仿宋简体" w:hAnsi="方正仿宋简体" w:eastAsia="方正仿宋简体" w:cs="方正仿宋简体"/>
          <w:b/>
          <w:bCs/>
          <w:color w:val="auto"/>
          <w:sz w:val="32"/>
          <w:szCs w:val="32"/>
          <w:lang w:val="en-US" w:eastAsia="zh-CN"/>
        </w:rPr>
        <w:t>2015-2020年</w:t>
      </w:r>
      <w:r>
        <w:rPr>
          <w:rFonts w:hint="eastAsia" w:ascii="方正仿宋简体" w:hAnsi="方正仿宋简体" w:eastAsia="方正仿宋简体" w:cs="方正仿宋简体"/>
          <w:b/>
          <w:bCs/>
          <w:color w:val="auto"/>
          <w:sz w:val="32"/>
          <w:szCs w:val="32"/>
          <w:lang w:eastAsia="zh-CN"/>
        </w:rPr>
        <w:t>）》有关要求，进一步加强行政规范性文件管理，维护法制统一和政令通畅，根据《济宁市规范性文件管理办法》规定和《济宁市人民政府办公室关于开展全市行政规范性文件清理工作的通知》（市政府办通知〔</w:t>
      </w:r>
      <w:r>
        <w:rPr>
          <w:rFonts w:hint="eastAsia" w:ascii="方正仿宋简体" w:hAnsi="方正仿宋简体" w:eastAsia="方正仿宋简体" w:cs="方正仿宋简体"/>
          <w:b/>
          <w:bCs/>
          <w:color w:val="auto"/>
          <w:sz w:val="32"/>
          <w:szCs w:val="32"/>
          <w:lang w:val="en-US" w:eastAsia="zh-CN"/>
        </w:rPr>
        <w:t>2019</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lang w:val="en-US" w:eastAsia="zh-CN"/>
        </w:rPr>
        <w:t>21号</w:t>
      </w:r>
      <w:r>
        <w:rPr>
          <w:rFonts w:hint="eastAsia" w:ascii="方正仿宋简体" w:hAnsi="方正仿宋简体" w:eastAsia="方正仿宋简体" w:cs="方正仿宋简体"/>
          <w:b/>
          <w:bCs/>
          <w:color w:val="auto"/>
          <w:sz w:val="32"/>
          <w:szCs w:val="32"/>
          <w:lang w:eastAsia="zh-CN"/>
        </w:rPr>
        <w:t>）要求，管委会对发布的现行有效的行政规范性文件进行了全面清理。现将清理结果公布如下：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eastAsia="zh-CN"/>
        </w:rPr>
        <w:t>一、本次共清理管委会行政规范性文件</w:t>
      </w:r>
      <w:r>
        <w:rPr>
          <w:rFonts w:hint="eastAsia" w:ascii="方正仿宋简体" w:hAnsi="方正仿宋简体" w:eastAsia="方正仿宋简体" w:cs="方正仿宋简体"/>
          <w:b/>
          <w:bCs/>
          <w:color w:val="auto"/>
          <w:sz w:val="32"/>
          <w:szCs w:val="32"/>
          <w:lang w:val="en-US" w:eastAsia="zh-CN"/>
        </w:rPr>
        <w:t>3件，决定继续有效2件，废止1件。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二、本次清理结果统一向社会公布，未经“三统一”的行政规范性文件一律不得作为行政管理的依据。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附件：1.继续有效的行政规范性文件目录（2件）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520" w:firstLineChars="5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color w:val="auto"/>
          <w:sz w:val="32"/>
          <w:szCs w:val="32"/>
          <w:lang w:val="en-US" w:eastAsia="zh-CN"/>
        </w:rPr>
        <w:t>2.废止的行政规范性文件目录（1件）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520" w:firstLineChars="500"/>
        <w:jc w:val="righ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济宁太白湖新区管委会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520" w:firstLineChars="500"/>
        <w:jc w:val="center"/>
        <w:textAlignment w:val="auto"/>
        <w:rPr>
          <w:rFonts w:hint="default" w:ascii="方正仿宋简体" w:hAnsi="方正仿宋简体" w:eastAsia="方正仿宋简体" w:cs="方正仿宋简体"/>
          <w:b/>
          <w:bCs/>
          <w:sz w:val="32"/>
          <w:szCs w:val="32"/>
          <w:lang w:val="en-US" w:eastAsia="zh-CN"/>
        </w:rPr>
        <w:sectPr>
          <w:pgSz w:w="11906" w:h="16838"/>
          <w:pgMar w:top="1440" w:right="1797" w:bottom="1440" w:left="1797" w:header="851" w:footer="992" w:gutter="0"/>
          <w:cols w:space="0" w:num="1"/>
          <w:rtlGutter w:val="0"/>
          <w:docGrid w:type="linesAndChars" w:linePitch="312" w:charSpace="-3420"/>
        </w:sectPr>
      </w:pPr>
      <w:r>
        <w:rPr>
          <w:rFonts w:hint="eastAsia" w:ascii="方正仿宋简体" w:hAnsi="方正仿宋简体" w:eastAsia="方正仿宋简体" w:cs="方正仿宋简体"/>
          <w:b/>
          <w:bCs/>
          <w:sz w:val="32"/>
          <w:szCs w:val="32"/>
          <w:lang w:val="en-US" w:eastAsia="zh-CN"/>
        </w:rPr>
        <w:t xml:space="preserve">                         2019年  月  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继续有效的行政规范性文件目录（2</w:t>
      </w:r>
      <w:r>
        <w:rPr>
          <w:rFonts w:hint="eastAsia" w:ascii="方正小标宋简体" w:hAnsi="方正小标宋简体" w:eastAsia="方正小标宋简体" w:cs="方正小标宋简体"/>
          <w:b/>
          <w:bCs/>
          <w:sz w:val="44"/>
          <w:szCs w:val="44"/>
          <w:lang w:val="en-US" w:eastAsia="zh-CN"/>
        </w:rPr>
        <w:t>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bCs/>
          <w:sz w:val="32"/>
          <w:szCs w:val="32"/>
          <w:lang w:val="en-US" w:eastAsia="zh-CN"/>
        </w:rPr>
      </w:pP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3723"/>
        <w:gridCol w:w="2362"/>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0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序号</w:t>
            </w:r>
          </w:p>
        </w:tc>
        <w:tc>
          <w:tcPr>
            <w:tcW w:w="37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文件名称</w:t>
            </w:r>
          </w:p>
        </w:tc>
        <w:tc>
          <w:tcPr>
            <w:tcW w:w="23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文号</w:t>
            </w:r>
          </w:p>
        </w:tc>
        <w:tc>
          <w:tcPr>
            <w:tcW w:w="23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发文日期</w:t>
            </w:r>
          </w:p>
        </w:tc>
        <w:tc>
          <w:tcPr>
            <w:tcW w:w="23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有效期</w:t>
            </w:r>
          </w:p>
        </w:tc>
        <w:tc>
          <w:tcPr>
            <w:tcW w:w="23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统一登记号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0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1</w:t>
            </w:r>
          </w:p>
        </w:tc>
        <w:tc>
          <w:tcPr>
            <w:tcW w:w="37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济宁太白湖新区区管企业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监事会管理办法</w:t>
            </w:r>
          </w:p>
        </w:tc>
        <w:tc>
          <w:tcPr>
            <w:tcW w:w="23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济太管发〔2018〕4号</w:t>
            </w:r>
          </w:p>
        </w:tc>
        <w:tc>
          <w:tcPr>
            <w:tcW w:w="23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2018.11.30</w:t>
            </w:r>
          </w:p>
        </w:tc>
        <w:tc>
          <w:tcPr>
            <w:tcW w:w="23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2023.12.31</w:t>
            </w:r>
          </w:p>
        </w:tc>
        <w:tc>
          <w:tcPr>
            <w:tcW w:w="23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JNCR-2018-0570001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0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2</w:t>
            </w:r>
          </w:p>
        </w:tc>
        <w:tc>
          <w:tcPr>
            <w:tcW w:w="37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default" w:ascii="方正仿宋简体" w:hAnsi="方正仿宋简体" w:eastAsia="方正仿宋简体" w:cs="方正仿宋简体"/>
                <w:b/>
                <w:bCs/>
                <w:sz w:val="24"/>
                <w:szCs w:val="24"/>
                <w:vertAlign w:val="baseline"/>
                <w:lang w:val="en-US" w:eastAsia="zh-CN"/>
              </w:rPr>
              <w:t>济宁太白湖新区区管企业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default" w:ascii="方正仿宋简体" w:hAnsi="方正仿宋简体" w:eastAsia="方正仿宋简体" w:cs="方正仿宋简体"/>
                <w:b/>
                <w:bCs/>
                <w:sz w:val="24"/>
                <w:szCs w:val="24"/>
                <w:vertAlign w:val="baseline"/>
                <w:lang w:val="en-US" w:eastAsia="zh-CN"/>
              </w:rPr>
              <w:t>财务总监管理办法</w:t>
            </w:r>
          </w:p>
        </w:tc>
        <w:tc>
          <w:tcPr>
            <w:tcW w:w="23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default" w:ascii="方正仿宋简体" w:hAnsi="方正仿宋简体" w:eastAsia="方正仿宋简体" w:cs="方正仿宋简体"/>
                <w:b/>
                <w:bCs/>
                <w:sz w:val="24"/>
                <w:szCs w:val="24"/>
                <w:vertAlign w:val="baseline"/>
                <w:lang w:val="en-US" w:eastAsia="zh-CN"/>
              </w:rPr>
              <w:t>济太管发〔2018〕5号</w:t>
            </w:r>
          </w:p>
        </w:tc>
        <w:tc>
          <w:tcPr>
            <w:tcW w:w="2362" w:type="dxa"/>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kern w:val="2"/>
                <w:sz w:val="24"/>
                <w:szCs w:val="24"/>
                <w:lang w:val="en-US" w:eastAsia="zh-CN" w:bidi="ar"/>
              </w:rPr>
              <w:t>2018.11.30</w:t>
            </w:r>
          </w:p>
        </w:tc>
        <w:tc>
          <w:tcPr>
            <w:tcW w:w="2363" w:type="dxa"/>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kern w:val="2"/>
                <w:sz w:val="24"/>
                <w:szCs w:val="24"/>
                <w:lang w:val="en-US" w:eastAsia="zh-CN" w:bidi="ar"/>
              </w:rPr>
              <w:t>2023.12.31</w:t>
            </w:r>
          </w:p>
        </w:tc>
        <w:tc>
          <w:tcPr>
            <w:tcW w:w="23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default" w:ascii="方正仿宋简体" w:hAnsi="方正仿宋简体" w:eastAsia="方正仿宋简体" w:cs="方正仿宋简体"/>
                <w:b/>
                <w:bCs/>
                <w:sz w:val="24"/>
                <w:szCs w:val="24"/>
                <w:vertAlign w:val="baseline"/>
                <w:lang w:val="en-US" w:eastAsia="zh-CN"/>
              </w:rPr>
              <w:t>JNCR-2018-0570002</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简体" w:hAnsi="方正仿宋简体" w:eastAsia="方正仿宋简体" w:cs="方正仿宋简体"/>
          <w:b/>
          <w:bCs/>
          <w:sz w:val="32"/>
          <w:szCs w:val="32"/>
          <w:lang w:val="en-US" w:eastAsia="zh-CN"/>
        </w:rPr>
        <w:sectPr>
          <w:pgSz w:w="16838" w:h="11906" w:orient="landscape"/>
          <w:pgMar w:top="1797" w:right="1440" w:bottom="1797" w:left="1440" w:header="851" w:footer="992" w:gutter="0"/>
          <w:cols w:space="0" w:num="1"/>
          <w:rtlGutter w:val="0"/>
          <w:docGrid w:type="linesAndChars" w:linePitch="319" w:charSpace="-342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废止的行政规范性文件目录（1件）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bCs/>
          <w:sz w:val="32"/>
          <w:szCs w:val="32"/>
          <w:lang w:val="en-US" w:eastAsia="zh-CN"/>
        </w:rPr>
      </w:pPr>
    </w:p>
    <w:tbl>
      <w:tblPr>
        <w:tblStyle w:val="3"/>
        <w:tblW w:w="13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5566"/>
        <w:gridCol w:w="2770"/>
        <w:gridCol w:w="1730"/>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0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序号</w:t>
            </w:r>
          </w:p>
        </w:tc>
        <w:tc>
          <w:tcPr>
            <w:tcW w:w="55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文件名称</w:t>
            </w:r>
          </w:p>
        </w:tc>
        <w:tc>
          <w:tcPr>
            <w:tcW w:w="27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文号</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公布时间</w:t>
            </w:r>
          </w:p>
        </w:tc>
        <w:tc>
          <w:tcPr>
            <w:tcW w:w="25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统一登记号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0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1</w:t>
            </w:r>
          </w:p>
        </w:tc>
        <w:tc>
          <w:tcPr>
            <w:tcW w:w="55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default" w:ascii="方正仿宋简体" w:hAnsi="方正仿宋简体" w:eastAsia="方正仿宋简体" w:cs="方正仿宋简体"/>
                <w:b/>
                <w:bCs/>
                <w:sz w:val="24"/>
                <w:szCs w:val="24"/>
                <w:vertAlign w:val="baseline"/>
                <w:lang w:val="en-US" w:eastAsia="zh-CN"/>
              </w:rPr>
              <w:t>济宁太白湖新区关于加强物业管理及住宅小区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default" w:ascii="方正仿宋简体" w:hAnsi="方正仿宋简体" w:eastAsia="方正仿宋简体" w:cs="方正仿宋简体"/>
                <w:b/>
                <w:bCs/>
                <w:sz w:val="24"/>
                <w:szCs w:val="24"/>
                <w:vertAlign w:val="baseline"/>
                <w:lang w:val="en-US" w:eastAsia="zh-CN"/>
              </w:rPr>
              <w:t>管理工作的实施意见</w:t>
            </w:r>
          </w:p>
        </w:tc>
        <w:tc>
          <w:tcPr>
            <w:tcW w:w="27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default" w:ascii="方正仿宋简体" w:hAnsi="方正仿宋简体" w:eastAsia="方正仿宋简体" w:cs="方正仿宋简体"/>
                <w:b/>
                <w:bCs/>
                <w:sz w:val="24"/>
                <w:szCs w:val="24"/>
                <w:vertAlign w:val="baseline"/>
                <w:lang w:val="en-US" w:eastAsia="zh-CN"/>
              </w:rPr>
              <w:t>济太管办字〔2016〕28号</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2016.8.26</w:t>
            </w:r>
          </w:p>
        </w:tc>
        <w:tc>
          <w:tcPr>
            <w:tcW w:w="25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JNCR-2016-0570001</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简体" w:hAnsi="方正仿宋简体" w:eastAsia="方正仿宋简体" w:cs="方正仿宋简体"/>
          <w:b/>
          <w:bCs/>
          <w:sz w:val="32"/>
          <w:szCs w:val="32"/>
          <w:lang w:val="en-US" w:eastAsia="zh-CN"/>
        </w:rPr>
      </w:pPr>
    </w:p>
    <w:sectPr>
      <w:pgSz w:w="16838" w:h="11906" w:orient="landscape"/>
      <w:pgMar w:top="1797" w:right="1440" w:bottom="1797" w:left="1440" w:header="851" w:footer="992" w:gutter="0"/>
      <w:cols w:space="0" w:num="1"/>
      <w:rtlGutter w:val="0"/>
      <w:docGrid w:type="linesAndChars" w:linePitch="319"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7"/>
  <w:embedSystemFonts/>
  <w:bordersDoNotSurroundHeader w:val="0"/>
  <w:bordersDoNotSurroundFooter w:val="0"/>
  <w:documentProtection w:enforcement="0"/>
  <w:defaultTabStop w:val="420"/>
  <w:drawingGridHorizontalSpacing w:val="97"/>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231E8"/>
    <w:rsid w:val="078100AD"/>
    <w:rsid w:val="0D27394B"/>
    <w:rsid w:val="0D533791"/>
    <w:rsid w:val="11FF4972"/>
    <w:rsid w:val="126A2E06"/>
    <w:rsid w:val="1A6840EA"/>
    <w:rsid w:val="236A4688"/>
    <w:rsid w:val="24BD60D0"/>
    <w:rsid w:val="52F45317"/>
    <w:rsid w:val="62D231E8"/>
    <w:rsid w:val="6B00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table" w:styleId="3">
    <w:name w:val="Table Grid"/>
    <w:basedOn w:val="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2019-09-06T03:19:00Z</dcterms:created>
  <dc:creator>丑丑</dc:creator>
  <cp:lastModifiedBy>丑丑</cp:lastModifiedBy>
  <cp:lastPrinted>2019-09-09T06:16:00Z</cp:lastPrinted>
  <dcterms:modified xsi:type="dcterms:W3CDTF">2019-09-10T06:49:18Z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