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FF6B8">
      <w:pPr>
        <w:spacing w:before="116" w:line="219" w:lineRule="auto"/>
        <w:ind w:left="718"/>
        <w:outlineLvl w:val="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color w:val="D02040"/>
          <w:spacing w:val="-28"/>
          <w:sz w:val="59"/>
          <w:szCs w:val="59"/>
        </w:rPr>
        <w:t>济</w:t>
      </w:r>
      <w:r>
        <w:rPr>
          <w:rFonts w:ascii="宋体" w:hAnsi="宋体" w:eastAsia="宋体" w:cs="宋体"/>
          <w:color w:val="D02040"/>
          <w:spacing w:val="-6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40"/>
          <w:spacing w:val="-28"/>
          <w:sz w:val="59"/>
          <w:szCs w:val="59"/>
        </w:rPr>
        <w:t>宁</w:t>
      </w:r>
      <w:r>
        <w:rPr>
          <w:rFonts w:ascii="宋体" w:hAnsi="宋体" w:eastAsia="宋体" w:cs="宋体"/>
          <w:color w:val="D02040"/>
          <w:spacing w:val="-78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40"/>
          <w:spacing w:val="-28"/>
          <w:sz w:val="59"/>
          <w:szCs w:val="59"/>
        </w:rPr>
        <w:t>市</w:t>
      </w:r>
      <w:r>
        <w:rPr>
          <w:rFonts w:ascii="宋体" w:hAnsi="宋体" w:eastAsia="宋体" w:cs="宋体"/>
          <w:color w:val="D02040"/>
          <w:spacing w:val="-85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40"/>
          <w:spacing w:val="-28"/>
          <w:sz w:val="59"/>
          <w:szCs w:val="59"/>
        </w:rPr>
        <w:t>发</w:t>
      </w:r>
      <w:r>
        <w:rPr>
          <w:rFonts w:ascii="宋体" w:hAnsi="宋体" w:eastAsia="宋体" w:cs="宋体"/>
          <w:color w:val="D02040"/>
          <w:spacing w:val="-9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40"/>
          <w:spacing w:val="-28"/>
          <w:sz w:val="59"/>
          <w:szCs w:val="59"/>
        </w:rPr>
        <w:t>展</w:t>
      </w:r>
      <w:r>
        <w:rPr>
          <w:rFonts w:ascii="宋体" w:hAnsi="宋体" w:eastAsia="宋体" w:cs="宋体"/>
          <w:b/>
          <w:bCs/>
          <w:color w:val="D02030"/>
          <w:spacing w:val="-28"/>
          <w:sz w:val="59"/>
          <w:szCs w:val="59"/>
        </w:rPr>
        <w:t>和</w:t>
      </w:r>
      <w:r>
        <w:rPr>
          <w:rFonts w:ascii="宋体" w:hAnsi="宋体" w:eastAsia="宋体" w:cs="宋体"/>
          <w:color w:val="D02030"/>
          <w:spacing w:val="-9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30"/>
          <w:spacing w:val="-28"/>
          <w:sz w:val="59"/>
          <w:szCs w:val="59"/>
        </w:rPr>
        <w:t>改</w:t>
      </w:r>
      <w:r>
        <w:rPr>
          <w:rFonts w:ascii="宋体" w:hAnsi="宋体" w:eastAsia="宋体" w:cs="宋体"/>
          <w:color w:val="D02030"/>
          <w:spacing w:val="-109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30"/>
          <w:spacing w:val="-28"/>
          <w:sz w:val="59"/>
          <w:szCs w:val="59"/>
        </w:rPr>
        <w:t>革</w:t>
      </w:r>
      <w:r>
        <w:rPr>
          <w:rFonts w:ascii="宋体" w:hAnsi="宋体" w:eastAsia="宋体" w:cs="宋体"/>
          <w:color w:val="D02030"/>
          <w:spacing w:val="-114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30"/>
          <w:spacing w:val="-28"/>
          <w:sz w:val="59"/>
          <w:szCs w:val="59"/>
        </w:rPr>
        <w:t>委</w:t>
      </w:r>
      <w:r>
        <w:rPr>
          <w:rFonts w:ascii="宋体" w:hAnsi="宋体" w:eastAsia="宋体" w:cs="宋体"/>
          <w:color w:val="D02030"/>
          <w:spacing w:val="-88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30"/>
          <w:spacing w:val="-28"/>
          <w:sz w:val="59"/>
          <w:szCs w:val="59"/>
        </w:rPr>
        <w:t>员</w:t>
      </w:r>
      <w:r>
        <w:rPr>
          <w:rFonts w:ascii="宋体" w:hAnsi="宋体" w:eastAsia="宋体" w:cs="宋体"/>
          <w:color w:val="D02030"/>
          <w:spacing w:val="-113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D02030"/>
          <w:spacing w:val="-28"/>
          <w:sz w:val="59"/>
          <w:szCs w:val="59"/>
        </w:rPr>
        <w:t>会</w:t>
      </w:r>
    </w:p>
    <w:p w14:paraId="309A1818">
      <w:pPr>
        <w:spacing w:before="97" w:line="61" w:lineRule="exact"/>
        <w:ind w:firstLine="9"/>
      </w:pPr>
      <w:r>
        <w:rPr>
          <w:position w:val="-1"/>
        </w:rPr>
        <w:drawing>
          <wp:inline distT="0" distB="0" distL="0" distR="0">
            <wp:extent cx="6101715" cy="38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2326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5F8F">
      <w:pPr>
        <w:spacing w:line="307" w:lineRule="auto"/>
        <w:rPr>
          <w:rFonts w:ascii="Arial"/>
          <w:sz w:val="21"/>
        </w:rPr>
      </w:pPr>
    </w:p>
    <w:p w14:paraId="696EA41A">
      <w:pPr>
        <w:spacing w:before="150" w:line="219" w:lineRule="auto"/>
        <w:ind w:left="156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8"/>
          <w:sz w:val="46"/>
          <w:szCs w:val="46"/>
        </w:rPr>
        <w:t>关于报送场景创新有关材料的通知</w:t>
      </w:r>
    </w:p>
    <w:p w14:paraId="0F5504E9">
      <w:pPr>
        <w:spacing w:line="343" w:lineRule="auto"/>
        <w:rPr>
          <w:rFonts w:ascii="Arial"/>
          <w:sz w:val="21"/>
        </w:rPr>
      </w:pPr>
    </w:p>
    <w:p w14:paraId="0B6C67A5">
      <w:pPr>
        <w:spacing w:line="344" w:lineRule="auto"/>
        <w:rPr>
          <w:rFonts w:ascii="Arial"/>
          <w:sz w:val="21"/>
        </w:rPr>
      </w:pPr>
    </w:p>
    <w:p w14:paraId="1ACDD07F">
      <w:pPr>
        <w:pStyle w:val="2"/>
        <w:spacing w:before="101" w:line="349" w:lineRule="auto"/>
        <w:ind w:left="740" w:right="739"/>
      </w:pPr>
      <w:r>
        <w:rPr>
          <w:spacing w:val="15"/>
        </w:rPr>
        <w:t>各县(市、区)发改局，太白湖新区、济宁经济技术开发区</w:t>
      </w:r>
      <w:r>
        <w:t xml:space="preserve"> </w:t>
      </w:r>
      <w:r>
        <w:rPr>
          <w:spacing w:val="-7"/>
        </w:rPr>
        <w:t>经发局：</w:t>
      </w:r>
    </w:p>
    <w:p w14:paraId="23942F04">
      <w:pPr>
        <w:pStyle w:val="2"/>
        <w:tabs>
          <w:tab w:val="left" w:pos="870"/>
        </w:tabs>
        <w:spacing w:before="33" w:line="351" w:lineRule="auto"/>
        <w:ind w:left="705" w:right="697" w:firstLine="695"/>
        <w:jc w:val="both"/>
      </w:pPr>
      <w:r>
        <w:rPr>
          <w:spacing w:val="3"/>
        </w:rPr>
        <w:t>为深入贯彻《国务院办公厅关于加快场景培育和</w:t>
      </w:r>
      <w:r>
        <w:rPr>
          <w:spacing w:val="2"/>
        </w:rPr>
        <w:t>开放推</w:t>
      </w:r>
      <w:r>
        <w:t xml:space="preserve"> </w:t>
      </w:r>
      <w:r>
        <w:rPr>
          <w:spacing w:val="10"/>
        </w:rPr>
        <w:t>动新场景大规模应用的实施意见》(国办发〔2025〕37号),</w:t>
      </w:r>
      <w:r>
        <w:rPr>
          <w:spacing w:val="11"/>
        </w:rPr>
        <w:t xml:space="preserve"> </w:t>
      </w:r>
      <w:r>
        <w:rPr>
          <w:spacing w:val="16"/>
        </w:rPr>
        <w:t>按照林武书记等省领导批示，省发展改革委正在牵头制定</w:t>
      </w:r>
      <w:r>
        <w:rPr>
          <w:spacing w:val="15"/>
        </w:rPr>
        <w:t xml:space="preserve"> 《山东省支持场景创新应用引领新质生产力发展的行动方</w:t>
      </w:r>
      <w:r>
        <w:rPr>
          <w:spacing w:val="18"/>
        </w:rPr>
        <w:t xml:space="preserve"> </w:t>
      </w:r>
      <w:r>
        <w:rPr>
          <w:spacing w:val="4"/>
        </w:rPr>
        <w:t>案》(以下简称《行动方案》)。按照省通知要求，</w:t>
      </w:r>
      <w:r>
        <w:rPr>
          <w:spacing w:val="3"/>
        </w:rPr>
        <w:t>现请各县</w:t>
      </w:r>
      <w:r>
        <w:t xml:space="preserve"> </w:t>
      </w:r>
      <w:r>
        <w:tab/>
      </w:r>
      <w:r>
        <w:rPr>
          <w:spacing w:val="10"/>
        </w:rPr>
        <w:t>(市、区)围绕重点领域，结合本地产业基础与发展实践，</w:t>
      </w:r>
      <w:r>
        <w:rPr>
          <w:spacing w:val="13"/>
        </w:rPr>
        <w:t xml:space="preserve"> </w:t>
      </w:r>
      <w:r>
        <w:rPr>
          <w:spacing w:val="4"/>
        </w:rPr>
        <w:t>认真梳理并报送相关材料，省发展改革委将对提报内容择优</w:t>
      </w:r>
      <w:r>
        <w:rPr>
          <w:spacing w:val="7"/>
        </w:rPr>
        <w:t xml:space="preserve"> </w:t>
      </w:r>
      <w:r>
        <w:rPr>
          <w:spacing w:val="5"/>
        </w:rPr>
        <w:t>纳入《行动方案》,具体要求如下：</w:t>
      </w:r>
    </w:p>
    <w:p w14:paraId="7A1B8C82">
      <w:pPr>
        <w:spacing w:before="40" w:line="222" w:lineRule="auto"/>
        <w:ind w:left="13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一、提报重点领域</w:t>
      </w:r>
    </w:p>
    <w:p w14:paraId="27E4B6A5">
      <w:pPr>
        <w:pStyle w:val="2"/>
        <w:spacing w:before="264" w:line="286" w:lineRule="auto"/>
        <w:ind w:left="740" w:right="790" w:firstLine="609"/>
      </w:pPr>
      <w:r>
        <w:rPr>
          <w:rFonts w:ascii="宋体" w:hAnsi="宋体" w:eastAsia="宋体" w:cs="宋体"/>
          <w:spacing w:val="1"/>
        </w:rPr>
        <w:t>1.</w:t>
      </w:r>
      <w:r>
        <w:rPr>
          <w:rFonts w:ascii="楷体" w:hAnsi="楷体" w:eastAsia="楷体" w:cs="楷体"/>
          <w:spacing w:val="1"/>
        </w:rPr>
        <w:t>新领域新赛道</w:t>
      </w:r>
      <w:r>
        <w:rPr>
          <w:spacing w:val="1"/>
        </w:rPr>
        <w:t>：低空经济、航空航天、无人驾驶、生</w:t>
      </w:r>
      <w:r>
        <w:rPr>
          <w:spacing w:val="13"/>
        </w:rPr>
        <w:t xml:space="preserve"> </w:t>
      </w:r>
      <w:r>
        <w:rPr>
          <w:spacing w:val="3"/>
        </w:rPr>
        <w:t>物技术、新能源、海洋开发、人工智能等；</w:t>
      </w:r>
    </w:p>
    <w:p w14:paraId="654BCAF1">
      <w:pPr>
        <w:pStyle w:val="2"/>
        <w:spacing w:before="223" w:line="288" w:lineRule="auto"/>
        <w:ind w:left="740" w:right="765" w:firstLine="614"/>
      </w:pPr>
      <w:r>
        <w:rPr>
          <w:rFonts w:ascii="楷体" w:hAnsi="楷体" w:eastAsia="楷体" w:cs="楷体"/>
          <w:b/>
          <w:bCs/>
          <w:spacing w:val="1"/>
        </w:rPr>
        <w:t>2.产业优化提质</w:t>
      </w:r>
      <w:r>
        <w:rPr>
          <w:b/>
          <w:bCs/>
          <w:spacing w:val="1"/>
        </w:rPr>
        <w:t>：</w:t>
      </w:r>
      <w:r>
        <w:rPr>
          <w:spacing w:val="1"/>
        </w:rPr>
        <w:t>钢铁和石化等传统产业、装备制造、</w:t>
      </w:r>
      <w:r>
        <w:rPr>
          <w:spacing w:val="5"/>
        </w:rPr>
        <w:t xml:space="preserve"> </w:t>
      </w:r>
      <w:r>
        <w:rPr>
          <w:spacing w:val="1"/>
        </w:rPr>
        <w:t>交通物流、现代农业等；</w:t>
      </w:r>
    </w:p>
    <w:p w14:paraId="05BC6316">
      <w:pPr>
        <w:pStyle w:val="2"/>
        <w:spacing w:before="243" w:line="285" w:lineRule="auto"/>
        <w:ind w:left="740" w:right="728" w:firstLine="614"/>
      </w:pPr>
      <w:r>
        <w:rPr>
          <w:rFonts w:ascii="宋体" w:hAnsi="宋体" w:eastAsia="宋体" w:cs="宋体"/>
          <w:b/>
          <w:bCs/>
          <w:spacing w:val="2"/>
        </w:rPr>
        <w:t>3.</w:t>
      </w:r>
      <w:r>
        <w:rPr>
          <w:rFonts w:ascii="楷体" w:hAnsi="楷体" w:eastAsia="楷体" w:cs="楷体"/>
          <w:b/>
          <w:bCs/>
          <w:spacing w:val="2"/>
        </w:rPr>
        <w:t>重点行业升级</w:t>
      </w:r>
      <w:r>
        <w:rPr>
          <w:b/>
          <w:bCs/>
          <w:spacing w:val="2"/>
        </w:rPr>
        <w:t>：</w:t>
      </w:r>
      <w:r>
        <w:rPr>
          <w:spacing w:val="2"/>
        </w:rPr>
        <w:t>应急管理、矿山安全、施工安全、智</w:t>
      </w:r>
      <w:r>
        <w:rPr>
          <w:spacing w:val="16"/>
        </w:rPr>
        <w:t xml:space="preserve"> </w:t>
      </w:r>
      <w:r>
        <w:t>慧水利、生态环保等；</w:t>
      </w:r>
    </w:p>
    <w:p w14:paraId="24ABF42D">
      <w:pPr>
        <w:pStyle w:val="2"/>
        <w:spacing w:before="256" w:line="225" w:lineRule="auto"/>
        <w:ind w:left="1354"/>
      </w:pPr>
      <w:r>
        <w:rPr>
          <w:rFonts w:ascii="宋体" w:hAnsi="宋体" w:eastAsia="宋体" w:cs="宋体"/>
          <w:b/>
          <w:bCs/>
          <w:spacing w:val="-1"/>
        </w:rPr>
        <w:t>4.</w:t>
      </w:r>
      <w:r>
        <w:rPr>
          <w:rFonts w:ascii="楷体" w:hAnsi="楷体" w:eastAsia="楷体" w:cs="楷体"/>
          <w:b/>
          <w:bCs/>
          <w:spacing w:val="-1"/>
        </w:rPr>
        <w:t>社会治理服务</w:t>
      </w:r>
      <w:r>
        <w:rPr>
          <w:b/>
          <w:bCs/>
          <w:spacing w:val="-1"/>
        </w:rPr>
        <w:t>：</w:t>
      </w:r>
      <w:r>
        <w:rPr>
          <w:spacing w:val="-1"/>
        </w:rPr>
        <w:t>政务服务、智慧城市、乡村建设等；</w:t>
      </w:r>
    </w:p>
    <w:p w14:paraId="2F84499F">
      <w:pPr>
        <w:pStyle w:val="2"/>
        <w:spacing w:before="226" w:line="224" w:lineRule="auto"/>
        <w:ind w:left="1350"/>
      </w:pPr>
      <w:r>
        <w:rPr>
          <w:rFonts w:ascii="楷体" w:hAnsi="楷体" w:eastAsia="楷体" w:cs="楷体"/>
          <w:spacing w:val="2"/>
        </w:rPr>
        <w:t>5.民生领域改善</w:t>
      </w:r>
      <w:r>
        <w:rPr>
          <w:spacing w:val="2"/>
        </w:rPr>
        <w:t>：医疗健康、养老托育、文化旅游、新</w:t>
      </w:r>
    </w:p>
    <w:p w14:paraId="26A7B43C">
      <w:pPr>
        <w:spacing w:line="224" w:lineRule="auto"/>
        <w:sectPr>
          <w:footerReference r:id="rId5" w:type="default"/>
          <w:pgSz w:w="11900" w:h="16840"/>
          <w:pgMar w:top="1235" w:right="1060" w:bottom="1369" w:left="1219" w:header="0" w:footer="840" w:gutter="0"/>
          <w:cols w:space="720" w:num="1"/>
        </w:sectPr>
      </w:pPr>
    </w:p>
    <w:p w14:paraId="62C3AB5D">
      <w:pPr>
        <w:pStyle w:val="2"/>
        <w:spacing w:before="176" w:line="222" w:lineRule="auto"/>
        <w:ind w:left="195"/>
      </w:pPr>
      <w:r>
        <w:rPr>
          <w:spacing w:val="-5"/>
        </w:rPr>
        <w:t>型消费等。</w:t>
      </w:r>
    </w:p>
    <w:p w14:paraId="4ED00BA4">
      <w:pPr>
        <w:spacing w:before="227" w:line="222" w:lineRule="auto"/>
        <w:ind w:left="8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二、提报材料内容及要求</w:t>
      </w:r>
    </w:p>
    <w:p w14:paraId="17E482D7">
      <w:pPr>
        <w:pStyle w:val="2"/>
        <w:spacing w:before="239" w:line="338" w:lineRule="auto"/>
        <w:ind w:left="195" w:right="20" w:firstLine="759"/>
      </w:pPr>
      <w:r>
        <w:rPr>
          <w:rFonts w:ascii="楷体" w:hAnsi="楷体" w:eastAsia="楷体" w:cs="楷体"/>
          <w:spacing w:val="2"/>
        </w:rPr>
        <w:t>(一)拟重点打造的场景创新实验室。</w:t>
      </w:r>
      <w:r>
        <w:rPr>
          <w:spacing w:val="2"/>
        </w:rPr>
        <w:t>场景</w:t>
      </w:r>
      <w:r>
        <w:rPr>
          <w:spacing w:val="1"/>
        </w:rPr>
        <w:t>创新实验室，</w:t>
      </w:r>
      <w:r>
        <w:t xml:space="preserve"> </w:t>
      </w:r>
      <w:r>
        <w:rPr>
          <w:spacing w:val="3"/>
        </w:rPr>
        <w:t>指依托重大创新平台、重点产业集聚区等，聚</w:t>
      </w:r>
      <w:r>
        <w:rPr>
          <w:spacing w:val="2"/>
        </w:rPr>
        <w:t>焦关键领域开</w:t>
      </w:r>
      <w:r>
        <w:t xml:space="preserve"> </w:t>
      </w:r>
      <w:r>
        <w:rPr>
          <w:spacing w:val="2"/>
        </w:rPr>
        <w:t>展技术攻关测试、创新场景搭建、商业模型验证、市场前景</w:t>
      </w:r>
      <w:r>
        <w:t xml:space="preserve"> </w:t>
      </w:r>
      <w:r>
        <w:rPr>
          <w:spacing w:val="2"/>
        </w:rPr>
        <w:t>评估、产业孵化培育的创新载体。请各单位推荐拟由省级重</w:t>
      </w:r>
      <w:r>
        <w:rPr>
          <w:spacing w:val="4"/>
        </w:rPr>
        <w:t xml:space="preserve"> </w:t>
      </w:r>
      <w:r>
        <w:rPr>
          <w:spacing w:val="1"/>
        </w:rPr>
        <w:t>点支持打造的场景创新实验室，需满足以下条件</w:t>
      </w:r>
      <w:r>
        <w:t xml:space="preserve">：1.有明确  </w:t>
      </w:r>
      <w:r>
        <w:rPr>
          <w:spacing w:val="2"/>
        </w:rPr>
        <w:t>的承载载体及牵头推进主体；2.核心实验方向要紧扣</w:t>
      </w:r>
      <w:r>
        <w:rPr>
          <w:spacing w:val="1"/>
        </w:rPr>
        <w:t>场景开</w:t>
      </w:r>
      <w:r>
        <w:t xml:space="preserve"> </w:t>
      </w:r>
      <w:r>
        <w:rPr>
          <w:spacing w:val="2"/>
        </w:rPr>
        <w:t>放需求、本地主导产业发展痛点和产业链关键技术瓶</w:t>
      </w:r>
      <w:r>
        <w:rPr>
          <w:spacing w:val="1"/>
        </w:rPr>
        <w:t>颈，避</w:t>
      </w:r>
      <w:r>
        <w:t xml:space="preserve"> </w:t>
      </w:r>
      <w:r>
        <w:rPr>
          <w:spacing w:val="6"/>
        </w:rPr>
        <w:t>免同质化；3.需提供阶段性目标(截至2027年底拟突破的关</w:t>
      </w:r>
      <w:r>
        <w:rPr>
          <w:spacing w:val="7"/>
        </w:rPr>
        <w:t xml:space="preserve">  </w:t>
      </w:r>
      <w:r>
        <w:rPr>
          <w:spacing w:val="2"/>
        </w:rPr>
        <w:t>键技术数量、形成的场景解决方案类型及数量、带动的产学</w:t>
      </w:r>
      <w:r>
        <w:rPr>
          <w:spacing w:val="4"/>
        </w:rPr>
        <w:t xml:space="preserve"> </w:t>
      </w:r>
      <w:r>
        <w:rPr>
          <w:spacing w:val="2"/>
        </w:rPr>
        <w:t>研合作项目等)。</w:t>
      </w:r>
    </w:p>
    <w:p w14:paraId="010B37BB">
      <w:pPr>
        <w:pStyle w:val="2"/>
        <w:spacing w:before="313" w:line="343" w:lineRule="auto"/>
        <w:ind w:left="195" w:firstLine="749"/>
      </w:pPr>
      <w:r>
        <w:rPr>
          <w:rFonts w:ascii="楷体" w:hAnsi="楷体" w:eastAsia="楷体" w:cs="楷体"/>
          <w:spacing w:val="3"/>
        </w:rPr>
        <w:t>(二)标杆性场景</w:t>
      </w:r>
      <w:r>
        <w:rPr>
          <w:spacing w:val="3"/>
        </w:rPr>
        <w:t>。标杆性场景，指供需双方协同攻关、</w:t>
      </w:r>
      <w:r>
        <w:t xml:space="preserve"> </w:t>
      </w:r>
      <w:r>
        <w:rPr>
          <w:spacing w:val="1"/>
        </w:rPr>
        <w:t xml:space="preserve">有效落地的重大原创性、领先性场景应用项目。推荐的标杆  </w:t>
      </w:r>
      <w:r>
        <w:rPr>
          <w:spacing w:val="13"/>
        </w:rPr>
        <w:t>场景需满足以下条件：1.开放方(场景供</w:t>
      </w:r>
      <w:r>
        <w:rPr>
          <w:spacing w:val="12"/>
        </w:rPr>
        <w:t>给主体)释放的场</w:t>
      </w:r>
      <w:r>
        <w:t xml:space="preserve">  </w:t>
      </w:r>
      <w:r>
        <w:rPr>
          <w:spacing w:val="7"/>
        </w:rPr>
        <w:t>景具备高潜能、高价值、独特性，且与技术合作方(解决方</w:t>
      </w:r>
      <w:r>
        <w:rPr>
          <w:spacing w:val="1"/>
        </w:rPr>
        <w:t xml:space="preserve">  </w:t>
      </w:r>
      <w:r>
        <w:rPr>
          <w:spacing w:val="16"/>
        </w:rPr>
        <w:t>案提供方)合作机制健全，已实现稳定运行且成效显著;2.</w:t>
      </w:r>
      <w:r>
        <w:rPr>
          <w:spacing w:val="7"/>
        </w:rPr>
        <w:t xml:space="preserve"> </w:t>
      </w:r>
      <w:r>
        <w:rPr>
          <w:spacing w:val="2"/>
        </w:rPr>
        <w:t>技术供给方提供的新技术、新产品、新模式或技术解决方案</w:t>
      </w:r>
      <w:r>
        <w:t xml:space="preserve">  </w:t>
      </w:r>
      <w:r>
        <w:rPr>
          <w:spacing w:val="2"/>
        </w:rPr>
        <w:t>具备先导性、首创性、颠覆性，能够解决当前相关行</w:t>
      </w:r>
      <w:r>
        <w:rPr>
          <w:spacing w:val="1"/>
        </w:rPr>
        <w:t>业领域</w:t>
      </w:r>
      <w:r>
        <w:t xml:space="preserve">  </w:t>
      </w:r>
      <w:r>
        <w:rPr>
          <w:spacing w:val="1"/>
        </w:rPr>
        <w:t>的重大问题；3.具备可复制、可推广价值，在同行业或同类</w:t>
      </w:r>
      <w:r>
        <w:rPr>
          <w:spacing w:val="2"/>
        </w:rPr>
        <w:t xml:space="preserve">  </w:t>
      </w:r>
      <w:r>
        <w:rPr>
          <w:spacing w:val="1"/>
        </w:rPr>
        <w:t>领域具有典型引领示范意义。</w:t>
      </w:r>
    </w:p>
    <w:p w14:paraId="74952C42">
      <w:pPr>
        <w:spacing w:before="235" w:line="222" w:lineRule="auto"/>
        <w:ind w:left="8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三、报送要求</w:t>
      </w:r>
    </w:p>
    <w:p w14:paraId="0EC28045">
      <w:pPr>
        <w:pStyle w:val="2"/>
        <w:spacing w:before="235" w:line="220" w:lineRule="auto"/>
        <w:ind w:left="835"/>
      </w:pPr>
      <w:r>
        <w:rPr>
          <w:spacing w:val="15"/>
        </w:rPr>
        <w:t>请各县(市、区)高度重视，严格审核，将推荐的</w:t>
      </w:r>
      <w:r>
        <w:rPr>
          <w:spacing w:val="14"/>
        </w:rPr>
        <w:t>汇总</w:t>
      </w:r>
    </w:p>
    <w:p w14:paraId="1D4CA5A8">
      <w:pPr>
        <w:spacing w:line="220" w:lineRule="auto"/>
        <w:sectPr>
          <w:footerReference r:id="rId6" w:type="default"/>
          <w:pgSz w:w="11900" w:h="16840"/>
          <w:pgMar w:top="1431" w:right="1654" w:bottom="1236" w:left="1785" w:header="0" w:footer="831" w:gutter="0"/>
          <w:cols w:space="720" w:num="1"/>
        </w:sectPr>
      </w:pPr>
    </w:p>
    <w:p w14:paraId="418519C1">
      <w:pPr>
        <w:pStyle w:val="2"/>
        <w:spacing w:before="197" w:line="345" w:lineRule="auto"/>
        <w:ind w:left="185" w:right="24"/>
      </w:pPr>
      <w:r>
        <w:rPr>
          <w:spacing w:val="43"/>
        </w:rPr>
        <w:t>表(附件1、2)于11月</w:t>
      </w:r>
      <w:r>
        <w:rPr>
          <w:b/>
          <w:bCs/>
          <w:spacing w:val="43"/>
        </w:rPr>
        <w:t>28</w:t>
      </w:r>
      <w:r>
        <w:rPr>
          <w:spacing w:val="43"/>
        </w:rPr>
        <w:t xml:space="preserve"> 日(星期五)12:00前将电子</w:t>
      </w:r>
      <w:r>
        <w:rPr>
          <w:spacing w:val="2"/>
        </w:rPr>
        <w:t xml:space="preserve"> </w:t>
      </w:r>
      <w:r>
        <w:rPr>
          <w:spacing w:val="4"/>
        </w:rPr>
        <w:t>版及盖章扫描版发送至邮箱。</w:t>
      </w:r>
    </w:p>
    <w:p w14:paraId="2951453B"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p w14:paraId="354E1538">
      <w:pPr>
        <w:spacing w:line="251" w:lineRule="auto"/>
        <w:rPr>
          <w:rFonts w:ascii="Arial"/>
          <w:sz w:val="21"/>
        </w:rPr>
      </w:pPr>
    </w:p>
    <w:p w14:paraId="3AF921DE">
      <w:pPr>
        <w:spacing w:line="251" w:lineRule="auto"/>
        <w:rPr>
          <w:rFonts w:ascii="Arial"/>
          <w:sz w:val="21"/>
        </w:rPr>
      </w:pPr>
    </w:p>
    <w:p w14:paraId="34443467">
      <w:pPr>
        <w:pStyle w:val="2"/>
        <w:spacing w:before="100" w:line="222" w:lineRule="auto"/>
        <w:ind w:left="795"/>
      </w:pPr>
      <w:r>
        <w:t>附件：1.场景创新实验室汇总表</w:t>
      </w:r>
    </w:p>
    <w:p w14:paraId="7FB7E5F7">
      <w:pPr>
        <w:pStyle w:val="2"/>
        <w:spacing w:before="223" w:line="220" w:lineRule="auto"/>
        <w:ind w:left="1765"/>
      </w:pPr>
      <w:r>
        <w:rPr>
          <w:spacing w:val="-2"/>
        </w:rPr>
        <w:t>2.标杆性场景案例汇总表</w:t>
      </w:r>
    </w:p>
    <w:p w14:paraId="28DE6D76">
      <w:pPr>
        <w:spacing w:line="264" w:lineRule="auto"/>
        <w:rPr>
          <w:rFonts w:ascii="Arial"/>
          <w:sz w:val="21"/>
        </w:rPr>
      </w:pPr>
    </w:p>
    <w:p w14:paraId="378C86B2">
      <w:pPr>
        <w:spacing w:line="264" w:lineRule="auto"/>
        <w:rPr>
          <w:rFonts w:ascii="Arial"/>
          <w:sz w:val="21"/>
        </w:rPr>
      </w:pPr>
    </w:p>
    <w:p w14:paraId="07625838">
      <w:pPr>
        <w:spacing w:line="264" w:lineRule="auto"/>
        <w:rPr>
          <w:rFonts w:ascii="Arial"/>
          <w:sz w:val="21"/>
        </w:rPr>
      </w:pPr>
    </w:p>
    <w:p w14:paraId="6934150E">
      <w:pPr>
        <w:spacing w:line="265" w:lineRule="auto"/>
        <w:rPr>
          <w:rFonts w:ascii="Arial"/>
          <w:sz w:val="21"/>
        </w:rPr>
      </w:pPr>
    </w:p>
    <w:p w14:paraId="00E01CFE">
      <w:pPr>
        <w:spacing w:line="265" w:lineRule="auto"/>
        <w:rPr>
          <w:rFonts w:ascii="Arial"/>
          <w:sz w:val="21"/>
        </w:rPr>
      </w:pPr>
    </w:p>
    <w:p w14:paraId="5D037361">
      <w:pPr>
        <w:pStyle w:val="2"/>
        <w:spacing w:before="102" w:line="221" w:lineRule="auto"/>
        <w:ind w:left="4604"/>
      </w:pPr>
      <w:r>
        <w:rPr>
          <w:spacing w:val="3"/>
        </w:rPr>
        <w:t>济宁市发展和改革委员会</w:t>
      </w:r>
    </w:p>
    <w:p w14:paraId="53B783DE">
      <w:pPr>
        <w:pStyle w:val="2"/>
        <w:spacing w:before="272" w:line="222" w:lineRule="auto"/>
        <w:ind w:left="5215"/>
        <w:rPr>
          <w:spacing w:val="35"/>
        </w:rPr>
      </w:pPr>
      <w:r>
        <w:rPr>
          <w:spacing w:val="35"/>
        </w:rPr>
        <w:t>2025年11月26日</w:t>
      </w:r>
    </w:p>
    <w:p w14:paraId="41F1148D">
      <w:pPr>
        <w:pStyle w:val="2"/>
        <w:spacing w:before="272" w:line="222" w:lineRule="auto"/>
        <w:ind w:left="5215"/>
        <w:rPr>
          <w:spacing w:val="35"/>
        </w:rPr>
      </w:pPr>
    </w:p>
    <w:p w14:paraId="42DF1793">
      <w:pPr>
        <w:pStyle w:val="2"/>
        <w:spacing w:before="100" w:line="222" w:lineRule="auto"/>
      </w:pPr>
      <w:r>
        <w:rPr>
          <w:rFonts w:hint="eastAsia"/>
        </w:rPr>
        <w:t>太白湖新区业务咨询请联系：</w:t>
      </w:r>
    </w:p>
    <w:p w14:paraId="513C29CE">
      <w:pPr>
        <w:pStyle w:val="2"/>
        <w:spacing w:before="100" w:line="222" w:lineRule="auto"/>
        <w:rPr>
          <w:rFonts w:hint="eastAsia" w:ascii="Times New Roman" w:hAnsi="Times New Roman" w:eastAsia="Times New Roman" w:cs="Times New Roman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/>
          <w:lang w:eastAsia="zh-CN"/>
        </w:rPr>
        <w:t>发改</w:t>
      </w:r>
      <w:r>
        <w:rPr>
          <w:rFonts w:hint="eastAsia"/>
        </w:rPr>
        <w:t>科：</w:t>
      </w:r>
      <w:r>
        <w:rPr>
          <w:rFonts w:hint="eastAsia"/>
          <w:lang w:eastAsia="zh-CN"/>
        </w:rPr>
        <w:t>来</w:t>
      </w:r>
      <w:r>
        <w:rPr>
          <w:rFonts w:hint="eastAsia"/>
        </w:rPr>
        <w:t>科长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电话：</w:t>
      </w:r>
      <w:r>
        <w:rPr>
          <w:rFonts w:hint="eastAsia" w:ascii="Times New Roman" w:hAnsi="Times New Roman" w:eastAsia="Times New Roman" w:cs="Times New Roman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6</w:t>
      </w:r>
      <w:r>
        <w:rPr>
          <w:rFonts w:hint="eastAsia" w:ascii="Times New Roman" w:hAnsi="Times New Roman" w:eastAsia="Times New Roman" w:cs="Times New Roman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56</w:t>
      </w:r>
      <w:r>
        <w:rPr>
          <w:rFonts w:hint="eastAsia" w:ascii="Times New Roman" w:hAnsi="Times New Roman" w:eastAsia="Times New Roman" w:cs="Times New Roman"/>
          <w:b/>
          <w:bCs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7</w:t>
      </w:r>
      <w:r>
        <w:rPr>
          <w:rFonts w:hint="eastAsia" w:ascii="Times New Roman" w:hAnsi="Times New Roman" w:eastAsia="Times New Roman" w:cs="Times New Roman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261</w:t>
      </w:r>
    </w:p>
    <w:p w14:paraId="47ED9816">
      <w:pPr>
        <w:pStyle w:val="2"/>
        <w:spacing w:before="100" w:line="222" w:lineRule="auto"/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-10"/>
          <w:kern w:val="0"/>
          <w:sz w:val="31"/>
          <w:szCs w:val="31"/>
          <w:lang w:val="en-US" w:eastAsia="en-US" w:bidi="ar-SA"/>
        </w:rPr>
      </w:pPr>
      <w:r>
        <w:t>邮箱 ：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000000"/>
          <w:spacing w:val="-10"/>
          <w:kern w:val="0"/>
          <w:sz w:val="31"/>
          <w:szCs w:val="31"/>
          <w:lang w:val="en-US" w:eastAsia="zh-CN" w:bidi="ar-SA"/>
        </w:rPr>
        <w:t>tbhfgk@ji.shandong.cn</w:t>
      </w:r>
    </w:p>
    <w:p w14:paraId="591427E4">
      <w:pPr>
        <w:pStyle w:val="2"/>
        <w:spacing w:before="100" w:line="222" w:lineRule="auto"/>
        <w:ind w:left="795"/>
        <w:rPr>
          <w:rFonts w:hint="default"/>
          <w:lang w:val="en-US" w:eastAsia="zh-CN"/>
        </w:rPr>
      </w:pPr>
    </w:p>
    <w:p w14:paraId="13B89D36">
      <w:pPr>
        <w:pStyle w:val="2"/>
        <w:spacing w:before="100" w:line="222" w:lineRule="auto"/>
        <w:ind w:left="795"/>
      </w:pPr>
    </w:p>
    <w:sectPr>
      <w:footerReference r:id="rId7" w:type="default"/>
      <w:pgSz w:w="11900" w:h="16840"/>
      <w:pgMar w:top="1431" w:right="1785" w:bottom="1246" w:left="1785" w:header="0" w:footer="8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C6761">
    <w:pPr>
      <w:spacing w:after="90" w:line="59" w:lineRule="exact"/>
    </w:pPr>
    <w:r>
      <w:rPr>
        <w:position w:val="-1"/>
      </w:rPr>
      <w:drawing>
        <wp:inline distT="0" distB="0" distL="0" distR="0">
          <wp:extent cx="6101715" cy="3746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2327" cy="3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A955B">
    <w:pPr>
      <w:spacing w:line="234" w:lineRule="auto"/>
      <w:ind w:left="440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B4CA5">
    <w:pPr>
      <w:spacing w:line="235" w:lineRule="auto"/>
      <w:ind w:left="38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8CBBE">
    <w:pPr>
      <w:spacing w:line="233" w:lineRule="auto"/>
      <w:ind w:left="386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5B7E0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1012</Words>
  <Characters>1066</Characters>
  <TotalTime>1</TotalTime>
  <ScaleCrop>false</ScaleCrop>
  <LinksUpToDate>false</LinksUpToDate>
  <CharactersWithSpaces>1117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2025-11-27T09:08:00Z</dcterms:created>
  <dc:creator>Administrator</dc:creator>
  <cp:lastModifiedBy>叶动风倾</cp:lastModifiedBy>
  <dcterms:modified xsi:type="dcterms:W3CDTF">2025-11-27T01:12:09Z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2025-11-27T09:08:44Z</vt:filetime>
  </property>
  <property fmtid="{D5CDD505-2E9C-101B-9397-08002B2CF9AE}" pid="4" name="UsrData">
    <vt:lpwstr>6927a4990025b3001f014727wl</vt:lpwstr>
  </property>
  <property fmtid="{D5CDD505-2E9C-101B-9397-08002B2CF9AE}" pid="5" name="KSOTemplateDocerSaveRecord">
    <vt:lpwstr>eyJoZGlkIjoiOWI3YTJjNmM0YzZmZTZlMGE0OTdjZDBmMmQ4OTdlY2QiLCJ1c2VySWQiOiI1MzY2OTIwODMifQ==</vt:lpwstr>
  </property>
  <property fmtid="{D5CDD505-2E9C-101B-9397-08002B2CF9AE}" pid="6" name="KSOProductBuildVer">
    <vt:lpwstr>2052-12.1.0.23542</vt:lpwstr>
  </property>
  <property fmtid="{D5CDD505-2E9C-101B-9397-08002B2CF9AE}" pid="7" name="ICV">
    <vt:lpwstr>95EEB4ADCF984F818E9AC73277EB8C2D_13</vt:lpwstr>
  </property>
</Properties>
</file>