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jc w:val="center"/>
        <w:rPr>
          <w:rStyle w:val="5"/>
          <w:rFonts w:hint="eastAsia" w:ascii="方正小标宋简体" w:hAnsi="方正小标宋简体" w:eastAsia="方正小标宋简体" w:cs="方正小标宋简体"/>
          <w:spacing w:val="0"/>
          <w:sz w:val="40"/>
          <w:szCs w:val="40"/>
          <w:shd w:val="clear" w:fill="FFFFFF"/>
        </w:rPr>
      </w:pPr>
      <w:r>
        <w:rPr>
          <w:rStyle w:val="5"/>
          <w:rFonts w:hint="eastAsia" w:ascii="方正小标宋简体" w:hAnsi="方正小标宋简体" w:eastAsia="方正小标宋简体" w:cs="方正小标宋简体"/>
          <w:spacing w:val="0"/>
          <w:sz w:val="40"/>
          <w:szCs w:val="40"/>
          <w:shd w:val="clear" w:fill="FFFFFF"/>
        </w:rPr>
        <w:t>济宁太白湖新区管委会2020年政府信息公开</w:t>
      </w:r>
    </w:p>
    <w:p>
      <w:pPr>
        <w:pStyle w:val="2"/>
        <w:keepNext w:val="0"/>
        <w:keepLines w:val="0"/>
        <w:widowControl/>
        <w:suppressLineNumbers w:val="0"/>
        <w:spacing w:before="0" w:beforeAutospacing="0" w:after="0" w:afterAutospacing="0" w:line="420" w:lineRule="atLeast"/>
        <w:ind w:left="0" w:right="0"/>
        <w:jc w:val="center"/>
        <w:rPr>
          <w:rStyle w:val="5"/>
          <w:rFonts w:hint="eastAsia" w:ascii="方正小标宋简体" w:hAnsi="方正小标宋简体" w:eastAsia="方正小标宋简体" w:cs="方正小标宋简体"/>
          <w:spacing w:val="0"/>
          <w:sz w:val="40"/>
          <w:szCs w:val="40"/>
          <w:shd w:val="clear" w:fill="FFFFFF"/>
        </w:rPr>
      </w:pPr>
      <w:r>
        <w:rPr>
          <w:rStyle w:val="5"/>
          <w:rFonts w:hint="eastAsia" w:ascii="方正小标宋简体" w:hAnsi="方正小标宋简体" w:eastAsia="方正小标宋简体" w:cs="方正小标宋简体"/>
          <w:spacing w:val="0"/>
          <w:sz w:val="40"/>
          <w:szCs w:val="40"/>
          <w:shd w:val="clear" w:fill="FFFFFF"/>
        </w:rPr>
        <w:t>工作年度报告</w:t>
      </w:r>
    </w:p>
    <w:p>
      <w:pPr>
        <w:pStyle w:val="2"/>
        <w:keepNext w:val="0"/>
        <w:keepLines w:val="0"/>
        <w:widowControl/>
        <w:suppressLineNumbers w:val="0"/>
        <w:spacing w:before="0" w:beforeAutospacing="0" w:after="0" w:afterAutospacing="0" w:line="420" w:lineRule="atLeast"/>
        <w:ind w:left="0" w:right="0"/>
        <w:jc w:val="center"/>
        <w:rPr>
          <w:rStyle w:val="5"/>
          <w:rFonts w:hint="eastAsia" w:ascii="方正小标宋简体" w:hAnsi="方正小标宋简体" w:eastAsia="方正小标宋简体" w:cs="方正小标宋简体"/>
          <w:spacing w:val="0"/>
          <w:sz w:val="40"/>
          <w:szCs w:val="40"/>
          <w:shd w:val="clear" w:fill="FFFFFF"/>
        </w:rPr>
      </w:pPr>
    </w:p>
    <w:p>
      <w:pPr>
        <w:pStyle w:val="2"/>
        <w:keepNext w:val="0"/>
        <w:keepLines w:val="0"/>
        <w:widowControl/>
        <w:suppressLineNumbers w:val="0"/>
        <w:spacing w:before="0" w:beforeAutospacing="0" w:after="0" w:afterAutospacing="0" w:line="420" w:lineRule="atLeast"/>
        <w:ind w:left="0" w:right="0"/>
        <w:rPr>
          <w:sz w:val="21"/>
          <w:szCs w:val="21"/>
        </w:rPr>
      </w:pPr>
      <w:r>
        <w:rPr>
          <w:rStyle w:val="5"/>
          <w:rFonts w:ascii="方正黑体简体" w:hAnsi="方正黑体简体" w:eastAsia="方正黑体简体" w:cs="方正黑体简体"/>
          <w:spacing w:val="0"/>
          <w:sz w:val="31"/>
          <w:szCs w:val="31"/>
          <w:shd w:val="clear" w:fill="FFFFFF"/>
        </w:rPr>
        <w:t>一、总体情况</w:t>
      </w:r>
    </w:p>
    <w:p>
      <w:pPr>
        <w:pStyle w:val="2"/>
        <w:keepNext w:val="0"/>
        <w:keepLines w:val="0"/>
        <w:widowControl/>
        <w:suppressLineNumbers w:val="0"/>
        <w:spacing w:before="0" w:beforeAutospacing="0" w:after="0" w:afterAutospacing="0" w:line="420" w:lineRule="atLeast"/>
        <w:ind w:left="0" w:right="0" w:firstLine="600"/>
        <w:rPr>
          <w:sz w:val="21"/>
          <w:szCs w:val="21"/>
        </w:rPr>
      </w:pPr>
      <w:r>
        <w:rPr>
          <w:rStyle w:val="5"/>
          <w:rFonts w:ascii="方正仿宋简体" w:hAnsi="方正仿宋简体" w:eastAsia="方正仿宋简体" w:cs="方正仿宋简体"/>
          <w:spacing w:val="0"/>
          <w:sz w:val="31"/>
          <w:szCs w:val="31"/>
          <w:shd w:val="clear" w:fill="FFFFFF"/>
        </w:rPr>
        <w:t>2020年，济宁太白湖新区严格落实《中华人民共和国政府信息公开条例》和《山东省政府信息公开办法》规定和有关文件要求，认真组织政府信息公开工作，坚持把政府信息公开与行政管理工作紧密结合起来，在加大政府信息公开的宣传力度，完善政府信息公开的各项制度，扩展政府信息公开内容，提高政府信息公开的质量和水平，规范政府信息公开申请处理程序，丰富政府信息公开形式等方面扎实推进等方面成效显著。全年主动公开政府信息1389条，较好地完成了政府信息公开各项任务，树立了新区依法行政、高效服务、阳光透明的良好形象。</w:t>
      </w:r>
    </w:p>
    <w:p>
      <w:pPr>
        <w:pStyle w:val="2"/>
        <w:keepNext w:val="0"/>
        <w:keepLines w:val="0"/>
        <w:widowControl/>
        <w:suppressLineNumbers w:val="0"/>
        <w:spacing w:before="0" w:beforeAutospacing="0" w:after="0" w:afterAutospacing="0" w:line="420" w:lineRule="atLeast"/>
        <w:ind w:left="0" w:right="0" w:firstLine="615"/>
        <w:rPr>
          <w:sz w:val="21"/>
          <w:szCs w:val="21"/>
        </w:rPr>
      </w:pPr>
      <w:r>
        <w:rPr>
          <w:rStyle w:val="5"/>
          <w:rFonts w:ascii="方正楷体简体" w:hAnsi="方正楷体简体" w:eastAsia="方正楷体简体" w:cs="方正楷体简体"/>
          <w:spacing w:val="0"/>
          <w:sz w:val="31"/>
          <w:szCs w:val="31"/>
        </w:rPr>
        <w:t>（一）</w:t>
      </w:r>
      <w:r>
        <w:rPr>
          <w:rStyle w:val="5"/>
          <w:rFonts w:hint="eastAsia" w:ascii="方正楷体简体" w:hAnsi="方正楷体简体" w:eastAsia="方正楷体简体" w:cs="方正楷体简体"/>
          <w:spacing w:val="0"/>
          <w:sz w:val="31"/>
          <w:szCs w:val="31"/>
        </w:rPr>
        <w:t>主动公开情况</w:t>
      </w:r>
    </w:p>
    <w:p>
      <w:pPr>
        <w:pStyle w:val="2"/>
        <w:keepNext w:val="0"/>
        <w:keepLines w:val="0"/>
        <w:widowControl/>
        <w:suppressLineNumbers w:val="0"/>
        <w:spacing w:before="0" w:beforeAutospacing="0" w:after="0" w:afterAutospacing="0" w:line="600" w:lineRule="atLeast"/>
        <w:ind w:left="0" w:right="0" w:firstLine="615"/>
      </w:pPr>
      <w:r>
        <w:rPr>
          <w:rStyle w:val="5"/>
          <w:rFonts w:hint="eastAsia" w:ascii="方正仿宋简体" w:hAnsi="方正仿宋简体" w:eastAsia="方正仿宋简体" w:cs="方正仿宋简体"/>
          <w:spacing w:val="0"/>
          <w:sz w:val="31"/>
          <w:szCs w:val="31"/>
        </w:rPr>
        <w:t>信息主动公开内容丰富、形式全面。按照《条例》规定的公开范围，新区加强政府网站建设和管理，综合运用文字、图像等方式，针对公众关切，主动、及时、全面、准确地发布权威政府信息，特别是重要会议、重要活动、重要决策部署，经济运行和社会发展重要动态，重大突发事件及其应对处置情况等方面的信息，以增进公众对政府工作的了解和理解。在公布形式上，除通过新区门户网站、微信公众号等媒体外，还加强了与新闻媒体单位联系，通过报刊、广播、电视等新闻媒体，及时宣传报道重大事件、重要政务活动、重点项目建设等经济社会发展情况。全年累计主动公开政府信息1389条。在主动公开的信息中，重要会议及领导活动信息58条；机构领导、设置及人事类信息27条；政策法规、规范性文件、重要文件14条；规划计划、统计信息9条。</w:t>
      </w:r>
    </w:p>
    <w:p>
      <w:pPr>
        <w:pStyle w:val="2"/>
        <w:keepNext w:val="0"/>
        <w:keepLines w:val="0"/>
        <w:widowControl/>
        <w:suppressLineNumbers w:val="0"/>
        <w:spacing w:before="0" w:beforeAutospacing="0" w:after="0" w:afterAutospacing="0" w:line="600" w:lineRule="atLeast"/>
        <w:ind w:left="0" w:right="0" w:firstLine="615"/>
        <w:jc w:val="center"/>
      </w:pPr>
      <w:r>
        <w:rPr>
          <w:rStyle w:val="5"/>
          <w:rFonts w:hint="eastAsia" w:ascii="方正仿宋简体" w:hAnsi="方正仿宋简体" w:eastAsia="方正仿宋简体" w:cs="方正仿宋简体"/>
          <w:spacing w:val="0"/>
          <w:sz w:val="31"/>
          <w:szCs w:val="31"/>
        </w:rPr>
        <w:drawing>
          <wp:inline distT="0" distB="0" distL="114300" distR="114300">
            <wp:extent cx="5095875" cy="38195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95875" cy="381952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600" w:lineRule="atLeast"/>
        <w:ind w:left="0" w:right="0" w:firstLine="615"/>
      </w:pPr>
      <w:r>
        <w:rPr>
          <w:rStyle w:val="5"/>
          <w:rFonts w:hint="eastAsia" w:ascii="方正楷体简体" w:hAnsi="方正楷体简体" w:eastAsia="方正楷体简体" w:cs="方正楷体简体"/>
          <w:spacing w:val="0"/>
          <w:sz w:val="31"/>
          <w:szCs w:val="31"/>
        </w:rPr>
        <w:t>（二）平台建设情况</w:t>
      </w:r>
    </w:p>
    <w:p>
      <w:pPr>
        <w:pStyle w:val="2"/>
        <w:keepNext w:val="0"/>
        <w:keepLines w:val="0"/>
        <w:widowControl/>
        <w:suppressLineNumbers w:val="0"/>
        <w:spacing w:before="0" w:beforeAutospacing="0" w:after="0" w:afterAutospacing="0" w:line="360" w:lineRule="atLeast"/>
        <w:ind w:left="0" w:right="0" w:firstLine="615"/>
        <w:rPr>
          <w:rStyle w:val="5"/>
          <w:rFonts w:hint="eastAsia" w:ascii="方正仿宋简体" w:hAnsi="方正仿宋简体" w:eastAsia="方正仿宋简体" w:cs="方正仿宋简体"/>
          <w:spacing w:val="0"/>
          <w:sz w:val="31"/>
          <w:szCs w:val="31"/>
        </w:rPr>
      </w:pPr>
      <w:r>
        <w:rPr>
          <w:rStyle w:val="5"/>
          <w:rFonts w:hint="eastAsia" w:ascii="方正仿宋简体" w:hAnsi="方正仿宋简体" w:eastAsia="方正仿宋简体" w:cs="方正仿宋简体"/>
          <w:spacing w:val="0"/>
          <w:sz w:val="31"/>
          <w:szCs w:val="31"/>
        </w:rPr>
        <w:t>为更好的发布政务信息、提供在线服务、强化与公众的互动交流，新区对门户网站进行了升级改版。改版后的门户网站，栏目设置更加齐全、功能更加完善、信息更加丰富，对提高社会管理和公共服务水平，加强政府信息公开都具有十分重要的推动作用。新版网站更具有时代气息，有更强的画面感和更强的互动性。对公众而言，具有更强的吸引力，能充分发挥新区门户网站在政府信息公开功能上的窗口作用。</w:t>
      </w:r>
    </w:p>
    <w:p>
      <w:pPr>
        <w:pStyle w:val="2"/>
        <w:keepNext w:val="0"/>
        <w:keepLines w:val="0"/>
        <w:widowControl/>
        <w:suppressLineNumbers w:val="0"/>
        <w:spacing w:before="0" w:beforeAutospacing="0" w:after="0" w:afterAutospacing="0" w:line="360" w:lineRule="atLeast"/>
        <w:ind w:left="0" w:right="0" w:firstLine="615"/>
        <w:rPr>
          <w:rStyle w:val="5"/>
          <w:rFonts w:hint="eastAsia" w:ascii="方正仿宋简体" w:hAnsi="方正仿宋简体" w:eastAsia="方正仿宋简体" w:cs="方正仿宋简体"/>
          <w:spacing w:val="0"/>
          <w:sz w:val="31"/>
          <w:szCs w:val="31"/>
        </w:rPr>
      </w:pPr>
      <w:r>
        <w:drawing>
          <wp:inline distT="0" distB="0" distL="114300" distR="114300">
            <wp:extent cx="19050" cy="19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19050" cy="19050"/>
                    </a:xfrm>
                    <a:prstGeom prst="rect">
                      <a:avLst/>
                    </a:prstGeom>
                    <a:noFill/>
                    <a:ln>
                      <a:noFill/>
                    </a:ln>
                  </pic:spPr>
                </pic:pic>
              </a:graphicData>
            </a:graphic>
          </wp:inline>
        </w:drawing>
      </w:r>
      <w:r>
        <w:drawing>
          <wp:inline distT="0" distB="0" distL="114300" distR="114300">
            <wp:extent cx="5273040" cy="2422525"/>
            <wp:effectExtent l="0" t="0" r="3810" b="158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273040" cy="2422525"/>
                    </a:xfrm>
                    <a:prstGeom prst="rect">
                      <a:avLst/>
                    </a:prstGeom>
                    <a:noFill/>
                    <a:ln>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firstLine="615"/>
        <w:rPr>
          <w:sz w:val="21"/>
          <w:szCs w:val="21"/>
        </w:rPr>
      </w:pPr>
      <w:r>
        <w:rPr>
          <w:rStyle w:val="5"/>
          <w:rFonts w:hint="eastAsia" w:ascii="方正楷体简体" w:hAnsi="方正楷体简体" w:eastAsia="方正楷体简体" w:cs="方正楷体简体"/>
          <w:spacing w:val="0"/>
          <w:sz w:val="31"/>
          <w:szCs w:val="31"/>
        </w:rPr>
        <w:t>（三）依申请公开和建议提案办理情况</w:t>
      </w:r>
    </w:p>
    <w:p>
      <w:pPr>
        <w:pStyle w:val="2"/>
        <w:keepNext w:val="0"/>
        <w:keepLines w:val="0"/>
        <w:widowControl/>
        <w:suppressLineNumbers w:val="0"/>
        <w:spacing w:before="0" w:beforeAutospacing="0" w:after="0" w:afterAutospacing="0" w:line="420" w:lineRule="atLeast"/>
        <w:ind w:left="0" w:right="0" w:firstLine="600"/>
        <w:rPr>
          <w:sz w:val="21"/>
          <w:szCs w:val="21"/>
        </w:rPr>
      </w:pPr>
      <w:r>
        <w:rPr>
          <w:rStyle w:val="5"/>
          <w:rFonts w:hint="eastAsia" w:ascii="方正仿宋简体" w:hAnsi="方正仿宋简体" w:eastAsia="方正仿宋简体" w:cs="方正仿宋简体"/>
          <w:spacing w:val="0"/>
          <w:sz w:val="31"/>
          <w:szCs w:val="31"/>
        </w:rPr>
        <w:t>太白湖新区把政府信息主动公开</w:t>
      </w:r>
      <w:r>
        <w:rPr>
          <w:rStyle w:val="5"/>
          <w:rFonts w:hint="eastAsia" w:ascii="方正仿宋简体" w:hAnsi="方正仿宋简体" w:eastAsia="方正仿宋简体" w:cs="方正仿宋简体"/>
          <w:spacing w:val="0"/>
          <w:sz w:val="31"/>
          <w:szCs w:val="31"/>
          <w:shd w:val="clear" w:fill="FFFFFF"/>
        </w:rPr>
        <w:t>工作作为推进依法行政的重要手段，不断扩大公开范围，细化公开内容，对涉及公共利益、公众权益、社会关切及需要社会广泛知晓的政府信息，依法、全面、准确、及时地做好公开工作。对于行政决策、执行、管理、服务、结果方面的信息，坚持以公开为常态、不公开为例外原则，依法依规做好公开工作。</w:t>
      </w:r>
    </w:p>
    <w:p>
      <w:pPr>
        <w:pStyle w:val="2"/>
        <w:keepNext w:val="0"/>
        <w:keepLines w:val="0"/>
        <w:widowControl/>
        <w:suppressLineNumbers w:val="0"/>
        <w:spacing w:before="0" w:beforeAutospacing="0" w:after="0" w:afterAutospacing="0" w:line="600" w:lineRule="atLeast"/>
        <w:ind w:left="0" w:right="0" w:firstLine="615"/>
      </w:pPr>
      <w:r>
        <w:rPr>
          <w:rStyle w:val="5"/>
          <w:rFonts w:hint="eastAsia" w:ascii="方正仿宋简体" w:hAnsi="方正仿宋简体" w:eastAsia="方正仿宋简体" w:cs="方正仿宋简体"/>
          <w:spacing w:val="0"/>
          <w:sz w:val="31"/>
          <w:szCs w:val="31"/>
          <w:shd w:val="clear" w:fill="FFFFFF"/>
        </w:rPr>
        <w:t>新区门户网站上公开依申请公开受理渠道，依法做好政府信息依申请公开和办理涉及政府信息公开的行政复议和行政应讼工作。2020年收到依申请公开15件，其中，通过信函申请1件，都已全部按规定回复。其中，因信息公开提起行政复议1件，已按照复议决定作出回复。因政府信息公开申请提起的行政诉讼0件。</w:t>
      </w:r>
    </w:p>
    <w:p>
      <w:pPr>
        <w:pStyle w:val="2"/>
        <w:keepNext w:val="0"/>
        <w:keepLines w:val="0"/>
        <w:widowControl/>
        <w:suppressLineNumbers w:val="0"/>
        <w:spacing w:before="0" w:beforeAutospacing="0" w:after="0" w:afterAutospacing="0" w:line="600" w:lineRule="atLeast"/>
        <w:ind w:left="0" w:right="0" w:firstLine="615"/>
        <w:rPr>
          <w:rStyle w:val="5"/>
          <w:rFonts w:hint="eastAsia" w:ascii="方正仿宋简体" w:hAnsi="方正仿宋简体" w:eastAsia="方正仿宋简体" w:cs="方正仿宋简体"/>
          <w:spacing w:val="0"/>
          <w:sz w:val="31"/>
          <w:szCs w:val="31"/>
          <w:shd w:val="clear" w:fill="FFFFFF"/>
          <w:lang w:eastAsia="zh-CN"/>
        </w:rPr>
      </w:pPr>
      <w:r>
        <w:rPr>
          <w:rStyle w:val="5"/>
          <w:rFonts w:hint="eastAsia" w:ascii="方正仿宋简体" w:hAnsi="方正仿宋简体" w:eastAsia="方正仿宋简体" w:cs="方正仿宋简体"/>
          <w:spacing w:val="0"/>
          <w:sz w:val="31"/>
          <w:szCs w:val="31"/>
          <w:shd w:val="clear" w:fill="FFFFFF"/>
        </w:rPr>
        <w:t>2020年，太白湖新区管委会办公室未收到人大代表建议和政协委员提案。</w:t>
      </w:r>
    </w:p>
    <w:p>
      <w:pPr>
        <w:pStyle w:val="2"/>
        <w:keepNext w:val="0"/>
        <w:keepLines w:val="0"/>
        <w:widowControl/>
        <w:suppressLineNumbers w:val="0"/>
        <w:spacing w:before="0" w:beforeAutospacing="0" w:after="0" w:afterAutospacing="0" w:line="600" w:lineRule="atLeast"/>
        <w:ind w:left="0" w:right="0" w:firstLine="615"/>
      </w:pPr>
      <w:r>
        <w:rPr>
          <w:rStyle w:val="5"/>
          <w:rFonts w:hint="eastAsia" w:ascii="方正楷体简体" w:hAnsi="方正楷体简体" w:eastAsia="方正楷体简体" w:cs="方正楷体简体"/>
          <w:spacing w:val="0"/>
          <w:sz w:val="31"/>
          <w:szCs w:val="31"/>
        </w:rPr>
        <w:t>（四）政府信息管理情况</w:t>
      </w:r>
    </w:p>
    <w:p>
      <w:pPr>
        <w:pStyle w:val="2"/>
        <w:keepNext w:val="0"/>
        <w:keepLines w:val="0"/>
        <w:widowControl/>
        <w:suppressLineNumbers w:val="0"/>
        <w:spacing w:before="0" w:beforeAutospacing="0" w:after="0" w:afterAutospacing="0" w:line="600" w:lineRule="atLeast"/>
        <w:ind w:left="0" w:right="0" w:firstLine="615"/>
      </w:pPr>
      <w:r>
        <w:rPr>
          <w:rStyle w:val="5"/>
          <w:rFonts w:hint="eastAsia" w:ascii="方正仿宋简体" w:hAnsi="方正仿宋简体" w:eastAsia="方正仿宋简体" w:cs="方正仿宋简体"/>
          <w:spacing w:val="0"/>
          <w:sz w:val="31"/>
          <w:szCs w:val="31"/>
          <w:shd w:val="clear" w:fill="FFFFFF"/>
        </w:rPr>
        <w:t>一是加强公开组织领导。新区管委会高度重视政府信息管理工作，管委会主要领导、分管领导多次对政务公开工作作出批示。机构改革后，及时调整政务公开领导小组，进一步完善政务公开协调机制，统筹规划全区政务公开工作。根据《济宁太白湖新区党政办公室关于调整区党政办公室内部机构职能的通知》（济太室字〔2019〕1号）要求，新区管委会办公室信息科专门设立政务公开小组，负责推进、指导、协调、监督全区政务公开工作。各部门、单位均明确了政务公开分管领导和工作人员，建立上下联动、共同推进的政务公开工作机制。二是健全信息管理制度。建立完善政府信息制作、获取、保存、处理等方面工作制度。在制发文件时，对文件公开属性进行明确标识，从源头上保障了公开信息不涉密、涉密信息不公开。严格遵守“先审查、后公开”原则，修订完善公开审查流程，建立完善逐级审查制度。政府信息公开前，先填写《政府信息公开审批表》报有关科室和领导审核，经审查同意后按规定程序予以公开。加大信息公开力度，探索创新依申请转主动公开工作，学习《济宁市人民政府办公室关于做好政府信息依申请转主动公开工作的通知》（市府办通知〔2019〕25 号），严格把关政府信息属性转变流程，对标注依申请公开属性的政府信息加强管理。三是细化任务落实责任。严格按照市政府《关于印发2020年政务公开工作任务分解表的通知》要求，认真梳理各项公开任务，及时下发我区任务分解表，明确各部门、单位任务目标，制定有力措施督促、督导部门贯彻落实。以问题为导向，制定全区政务公开考核办法，确保全区政务公开工作落到实处。根据机构改革后职能的变化情况，及时添加、删减政务公开目录节点，并对原有信息进行全面梳理排查，做好政府信息公开留存归档工作，防止出现 政府信息管理“断档”，保障了政府信息管理工作的有序衔接。</w:t>
      </w:r>
    </w:p>
    <w:p>
      <w:pPr>
        <w:pStyle w:val="2"/>
        <w:keepNext w:val="0"/>
        <w:keepLines w:val="0"/>
        <w:widowControl/>
        <w:suppressLineNumbers w:val="0"/>
        <w:spacing w:before="0" w:beforeAutospacing="0" w:after="0" w:afterAutospacing="0" w:line="600" w:lineRule="atLeast"/>
        <w:ind w:left="0" w:right="0" w:firstLine="615"/>
        <w:rPr>
          <w:rStyle w:val="5"/>
          <w:rFonts w:hint="eastAsia" w:ascii="方正楷体简体" w:hAnsi="方正楷体简体" w:eastAsia="方正楷体简体" w:cs="方正楷体简体"/>
          <w:spacing w:val="0"/>
          <w:sz w:val="31"/>
          <w:szCs w:val="31"/>
        </w:rPr>
      </w:pPr>
      <w:r>
        <w:rPr>
          <w:rStyle w:val="5"/>
          <w:rFonts w:hint="eastAsia" w:ascii="方正楷体简体" w:hAnsi="方正楷体简体" w:eastAsia="方正楷体简体" w:cs="方正楷体简体"/>
          <w:spacing w:val="0"/>
          <w:sz w:val="31"/>
          <w:szCs w:val="31"/>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pPr>
      <w:r>
        <w:rPr>
          <w:rStyle w:val="5"/>
          <w:rFonts w:hint="eastAsia" w:ascii="方正仿宋简体" w:hAnsi="方正仿宋简体" w:eastAsia="方正仿宋简体" w:cs="方正仿宋简体"/>
          <w:spacing w:val="0"/>
          <w:sz w:val="31"/>
          <w:szCs w:val="31"/>
          <w:shd w:val="clear" w:fill="FFFFFF"/>
        </w:rPr>
        <w:t>一是强化组织保障。根据机构改革、职能转变、人员变动和工作需要，及时调整政务公开领导小组，由区党政办公室主任任组长，各部门（单位）也相应理顺政务公开领导框架，形成上下贯通、齐抓共管政务公开的良好格局；充实政务公开队伍，我区从事政务公开工作人员38人，配齐配强政务公开工作人员，为不断提升公开质量提供组织保障。二是组织培训。太白湖新区建立以政务公开专题业务培训为主，轮训、电话、微信群、面对面指导、会议等形式为辅的多元化培训机制，全面提升了全区政务公开工作水平。2020年，</w:t>
      </w:r>
      <w:r>
        <w:rPr>
          <w:rStyle w:val="5"/>
          <w:rFonts w:hint="eastAsia" w:ascii="方正仿宋简体" w:hAnsi="方正仿宋简体" w:eastAsia="方正仿宋简体" w:cs="方正仿宋简体"/>
          <w:spacing w:val="0"/>
          <w:sz w:val="31"/>
          <w:szCs w:val="31"/>
        </w:rPr>
        <w:t>先后举办依申请公开办理工作培训和政务公开工作培训</w:t>
      </w:r>
      <w:r>
        <w:rPr>
          <w:rStyle w:val="5"/>
          <w:rFonts w:hint="eastAsia" w:ascii="方正仿宋简体" w:hAnsi="方正仿宋简体" w:eastAsia="方正仿宋简体" w:cs="方正仿宋简体"/>
          <w:spacing w:val="0"/>
          <w:sz w:val="31"/>
          <w:szCs w:val="31"/>
          <w:shd w:val="clear" w:fill="FFFFFF"/>
        </w:rPr>
        <w:t>，培训72人次。</w:t>
      </w:r>
    </w:p>
    <w:p>
      <w:pPr>
        <w:pStyle w:val="2"/>
        <w:keepNext w:val="0"/>
        <w:keepLines w:val="0"/>
        <w:widowControl/>
        <w:suppressLineNumbers w:val="0"/>
        <w:spacing w:before="0" w:beforeAutospacing="0" w:after="0" w:afterAutospacing="0" w:line="420" w:lineRule="atLeast"/>
        <w:ind w:left="0" w:right="0" w:firstLine="615"/>
        <w:rPr>
          <w:sz w:val="21"/>
          <w:szCs w:val="21"/>
        </w:rPr>
      </w:pPr>
      <w:r>
        <w:rPr>
          <w:rStyle w:val="5"/>
          <w:rFonts w:hint="eastAsia" w:ascii="方正仿宋简体" w:hAnsi="方正仿宋简体" w:eastAsia="方正仿宋简体" w:cs="方正仿宋简体"/>
          <w:spacing w:val="0"/>
          <w:sz w:val="31"/>
          <w:szCs w:val="31"/>
          <w:shd w:val="clear" w:fill="FFFFFF"/>
        </w:rPr>
        <w:t> </w:t>
      </w:r>
    </w:p>
    <w:p>
      <w:pPr>
        <w:pStyle w:val="2"/>
        <w:keepNext w:val="0"/>
        <w:keepLines w:val="0"/>
        <w:widowControl/>
        <w:suppressLineNumbers w:val="0"/>
        <w:spacing w:before="0" w:beforeAutospacing="0" w:after="0" w:afterAutospacing="0" w:line="420" w:lineRule="atLeast"/>
        <w:ind w:left="0" w:right="0" w:firstLine="615"/>
        <w:rPr>
          <w:sz w:val="21"/>
          <w:szCs w:val="21"/>
        </w:rPr>
      </w:pPr>
      <w:r>
        <w:rPr>
          <w:rStyle w:val="5"/>
          <w:rFonts w:hint="eastAsia" w:ascii="方正仿宋简体" w:hAnsi="方正仿宋简体" w:eastAsia="方正仿宋简体" w:cs="方正仿宋简体"/>
          <w:spacing w:val="0"/>
          <w:sz w:val="31"/>
          <w:szCs w:val="31"/>
          <w:shd w:val="clear" w:fill="FFFFFF"/>
        </w:rPr>
        <w:t> </w:t>
      </w:r>
    </w:p>
    <w:p>
      <w:pPr>
        <w:pStyle w:val="2"/>
        <w:keepNext w:val="0"/>
        <w:keepLines w:val="0"/>
        <w:widowControl/>
        <w:suppressLineNumbers w:val="0"/>
        <w:spacing w:before="0" w:beforeAutospacing="0" w:after="0" w:afterAutospacing="0" w:line="420" w:lineRule="atLeast"/>
        <w:ind w:left="0" w:right="0"/>
        <w:rPr>
          <w:sz w:val="21"/>
          <w:szCs w:val="21"/>
        </w:rPr>
      </w:pPr>
      <w:r>
        <w:rPr>
          <w:rStyle w:val="5"/>
          <w:rFonts w:hint="eastAsia" w:ascii="方正黑体简体" w:hAnsi="方正黑体简体" w:eastAsia="方正黑体简体" w:cs="方正黑体简体"/>
          <w:spacing w:val="0"/>
          <w:sz w:val="31"/>
          <w:szCs w:val="31"/>
          <w:shd w:val="clear" w:fill="FFFFFF"/>
        </w:rPr>
        <w:t>二、主动公开政府信息情况</w:t>
      </w:r>
    </w:p>
    <w:p>
      <w:pPr>
        <w:pStyle w:val="2"/>
        <w:keepNext w:val="0"/>
        <w:keepLines w:val="0"/>
        <w:widowControl/>
        <w:suppressLineNumbers w:val="0"/>
        <w:spacing w:before="0" w:beforeAutospacing="0" w:after="0" w:afterAutospacing="0" w:line="420" w:lineRule="atLeast"/>
        <w:ind w:left="0" w:right="0"/>
        <w:rPr>
          <w:sz w:val="21"/>
          <w:szCs w:val="21"/>
        </w:rPr>
      </w:pPr>
      <w:r>
        <w:rPr>
          <w:rStyle w:val="5"/>
          <w:rFonts w:hint="eastAsia" w:ascii="方正黑体简体" w:hAnsi="方正黑体简体" w:eastAsia="方正黑体简体" w:cs="方正黑体简体"/>
          <w:spacing w:val="0"/>
          <w:sz w:val="31"/>
          <w:szCs w:val="31"/>
          <w:shd w:val="clear" w:fill="FFFFFF"/>
        </w:rPr>
        <w:t> </w:t>
      </w:r>
    </w:p>
    <w:tbl>
      <w:tblPr>
        <w:tblStyle w:val="3"/>
        <w:tblW w:w="8640" w:type="dxa"/>
        <w:jc w:val="center"/>
        <w:shd w:val="clear" w:color="auto" w:fill="auto"/>
        <w:tblLayout w:type="autofit"/>
        <w:tblCellMar>
          <w:top w:w="15" w:type="dxa"/>
          <w:left w:w="15" w:type="dxa"/>
          <w:bottom w:w="15" w:type="dxa"/>
          <w:right w:w="15" w:type="dxa"/>
        </w:tblCellMar>
      </w:tblPr>
      <w:tblGrid>
        <w:gridCol w:w="3300"/>
        <w:gridCol w:w="1995"/>
        <w:gridCol w:w="1350"/>
        <w:gridCol w:w="1995"/>
      </w:tblGrid>
      <w:tr>
        <w:tblPrEx>
          <w:tblCellMar>
            <w:top w:w="15" w:type="dxa"/>
            <w:left w:w="15" w:type="dxa"/>
            <w:bottom w:w="15" w:type="dxa"/>
            <w:right w:w="15" w:type="dxa"/>
          </w:tblCellMar>
        </w:tblPrEx>
        <w:trPr>
          <w:trHeight w:val="450" w:hRule="atLeast"/>
          <w:jc w:val="center"/>
        </w:trPr>
        <w:tc>
          <w:tcPr>
            <w:tcW w:w="864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第二十条第（一）项</w:t>
            </w:r>
          </w:p>
        </w:tc>
      </w:tr>
      <w:tr>
        <w:tblPrEx>
          <w:tblCellMar>
            <w:top w:w="15" w:type="dxa"/>
            <w:left w:w="15" w:type="dxa"/>
            <w:bottom w:w="15" w:type="dxa"/>
            <w:right w:w="15" w:type="dxa"/>
          </w:tblCellMar>
        </w:tblPrEx>
        <w:trPr>
          <w:trHeight w:val="7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本年新</w:t>
            </w:r>
            <w:r>
              <w:rPr>
                <w:rStyle w:val="5"/>
                <w:rFonts w:hint="eastAsia" w:ascii="宋体" w:hAnsi="宋体" w:eastAsia="宋体" w:cs="宋体"/>
                <w:sz w:val="19"/>
                <w:szCs w:val="19"/>
              </w:rPr>
              <w:br w:type="textWrapping"/>
            </w:r>
            <w:r>
              <w:rPr>
                <w:rStyle w:val="5"/>
                <w:rFonts w:ascii="Calibri" w:hAnsi="Calibri" w:cs="Calibri"/>
                <w:sz w:val="19"/>
                <w:szCs w:val="19"/>
              </w:rPr>
              <w:t>制作数量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本年新</w:t>
            </w:r>
            <w:r>
              <w:rPr>
                <w:rStyle w:val="5"/>
                <w:rFonts w:hint="eastAsia" w:ascii="宋体" w:hAnsi="宋体" w:eastAsia="宋体" w:cs="宋体"/>
                <w:sz w:val="19"/>
                <w:szCs w:val="19"/>
              </w:rPr>
              <w:br w:type="textWrapping"/>
            </w:r>
            <w:r>
              <w:rPr>
                <w:rStyle w:val="5"/>
                <w:rFonts w:hint="default" w:ascii="Calibri" w:hAnsi="Calibri" w:cs="Calibri"/>
                <w:sz w:val="19"/>
                <w:szCs w:val="19"/>
              </w:rPr>
              <w:t>公开数量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对外公开总数量</w:t>
            </w:r>
          </w:p>
        </w:tc>
      </w:tr>
      <w:tr>
        <w:tblPrEx>
          <w:tblCellMar>
            <w:top w:w="15" w:type="dxa"/>
            <w:left w:w="15" w:type="dxa"/>
            <w:bottom w:w="15" w:type="dxa"/>
            <w:right w:w="15" w:type="dxa"/>
          </w:tblCellMar>
        </w:tblPrEx>
        <w:trPr>
          <w:trHeight w:val="46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19"/>
                <w:szCs w:val="19"/>
              </w:rPr>
              <w:t>规章</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r>
      <w:tr>
        <w:tblPrEx>
          <w:shd w:val="clear" w:color="auto" w:fill="auto"/>
          <w:tblCellMar>
            <w:top w:w="15" w:type="dxa"/>
            <w:left w:w="15" w:type="dxa"/>
            <w:bottom w:w="15" w:type="dxa"/>
            <w:right w:w="15" w:type="dxa"/>
          </w:tblCellMar>
        </w:tblPrEx>
        <w:trPr>
          <w:trHeight w:val="42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19"/>
                <w:szCs w:val="19"/>
              </w:rPr>
              <w:t>规范性文件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2</w:t>
            </w:r>
          </w:p>
        </w:tc>
        <w:tc>
          <w:tcPr>
            <w:tcW w:w="13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2</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4</w:t>
            </w:r>
          </w:p>
        </w:tc>
      </w:tr>
      <w:tr>
        <w:tblPrEx>
          <w:tblCellMar>
            <w:top w:w="15" w:type="dxa"/>
            <w:left w:w="15" w:type="dxa"/>
            <w:bottom w:w="15" w:type="dxa"/>
            <w:right w:w="15" w:type="dxa"/>
          </w:tblCellMar>
        </w:tblPrEx>
        <w:trPr>
          <w:trHeight w:val="45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FF0000"/>
                <w:sz w:val="21"/>
                <w:szCs w:val="21"/>
                <w:highlight w:val="none"/>
              </w:rPr>
            </w:pPr>
            <w:r>
              <w:rPr>
                <w:rStyle w:val="5"/>
                <w:rFonts w:hint="eastAsia" w:ascii="宋体" w:hAnsi="宋体" w:eastAsia="宋体" w:cs="宋体"/>
                <w:color w:val="auto"/>
                <w:sz w:val="19"/>
                <w:szCs w:val="19"/>
                <w:highlight w:val="none"/>
              </w:rPr>
              <w:t>第二十条第（五）项</w:t>
            </w:r>
          </w:p>
        </w:tc>
      </w:tr>
      <w:tr>
        <w:tblPrEx>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处理决定数量</w:t>
            </w:r>
          </w:p>
        </w:tc>
      </w:tr>
      <w:tr>
        <w:tblPrEx>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auto"/>
                <w:sz w:val="21"/>
                <w:szCs w:val="21"/>
                <w:highlight w:val="none"/>
              </w:rPr>
            </w:pPr>
            <w:r>
              <w:rPr>
                <w:rStyle w:val="5"/>
                <w:rFonts w:hint="eastAsia" w:ascii="宋体" w:hAnsi="宋体" w:eastAsia="宋体" w:cs="宋体"/>
                <w:color w:val="auto"/>
                <w:sz w:val="19"/>
                <w:szCs w:val="19"/>
                <w:highlight w:val="none"/>
              </w:rPr>
              <w:t>行政许可</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eastAsiaTheme="minorEastAsia"/>
                <w:color w:val="auto"/>
                <w:sz w:val="21"/>
                <w:szCs w:val="21"/>
                <w:highlight w:val="none"/>
                <w:lang w:val="en-US" w:eastAsia="zh-CN"/>
              </w:rPr>
            </w:pPr>
            <w:r>
              <w:rPr>
                <w:rStyle w:val="5"/>
                <w:rFonts w:hint="eastAsia" w:ascii="宋体" w:hAnsi="宋体" w:eastAsia="宋体" w:cs="宋体"/>
                <w:color w:val="auto"/>
                <w:sz w:val="19"/>
                <w:szCs w:val="19"/>
                <w:highlight w:val="none"/>
                <w:lang w:val="en-US" w:eastAsia="zh-CN"/>
              </w:rPr>
              <w:t>209</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eastAsia="宋体"/>
                <w:color w:val="auto"/>
                <w:sz w:val="21"/>
                <w:szCs w:val="21"/>
                <w:highlight w:val="none"/>
                <w:lang w:val="en-US" w:eastAsia="zh-CN"/>
              </w:rPr>
            </w:pPr>
            <w:r>
              <w:rPr>
                <w:rStyle w:val="5"/>
                <w:rFonts w:hint="eastAsia" w:ascii="宋体" w:hAnsi="宋体" w:eastAsia="宋体" w:cs="宋体"/>
                <w:color w:val="auto"/>
                <w:sz w:val="19"/>
                <w:szCs w:val="19"/>
                <w:highlight w:val="none"/>
              </w:rPr>
              <w:t>+</w:t>
            </w:r>
            <w:r>
              <w:rPr>
                <w:rStyle w:val="5"/>
                <w:rFonts w:hint="eastAsia" w:ascii="宋体" w:hAnsi="宋体" w:eastAsia="宋体" w:cs="宋体"/>
                <w:color w:val="auto"/>
                <w:sz w:val="19"/>
                <w:szCs w:val="19"/>
                <w:highlight w:val="none"/>
                <w:lang w:val="en-US" w:eastAsia="zh-CN"/>
              </w:rPr>
              <w:t>26</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5941</w:t>
            </w:r>
          </w:p>
        </w:tc>
      </w:tr>
      <w:tr>
        <w:tblPrEx>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auto"/>
                <w:sz w:val="21"/>
                <w:szCs w:val="21"/>
                <w:highlight w:val="none"/>
              </w:rPr>
            </w:pPr>
            <w:r>
              <w:rPr>
                <w:rStyle w:val="5"/>
                <w:rFonts w:hint="eastAsia" w:ascii="宋体" w:hAnsi="宋体" w:eastAsia="宋体" w:cs="宋体"/>
                <w:color w:val="auto"/>
                <w:sz w:val="19"/>
                <w:szCs w:val="19"/>
                <w:highlight w:val="none"/>
              </w:rPr>
              <w:t>其他对外管理服务事项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75</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+11</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22</w:t>
            </w:r>
          </w:p>
        </w:tc>
      </w:tr>
      <w:tr>
        <w:tblPrEx>
          <w:tblCellMar>
            <w:top w:w="15" w:type="dxa"/>
            <w:left w:w="15" w:type="dxa"/>
            <w:bottom w:w="15" w:type="dxa"/>
            <w:right w:w="15" w:type="dxa"/>
          </w:tblCellMar>
        </w:tblPrEx>
        <w:trPr>
          <w:trHeight w:val="36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第二十条第（六）项</w:t>
            </w:r>
          </w:p>
        </w:tc>
      </w:tr>
      <w:tr>
        <w:tblPrEx>
          <w:tblCellMar>
            <w:top w:w="15" w:type="dxa"/>
            <w:left w:w="15" w:type="dxa"/>
            <w:bottom w:w="15" w:type="dxa"/>
            <w:right w:w="15" w:type="dxa"/>
          </w:tblCellMar>
        </w:tblPrEx>
        <w:trPr>
          <w:trHeight w:val="57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信息内容</w:t>
            </w:r>
          </w:p>
        </w:tc>
        <w:tc>
          <w:tcPr>
            <w:tcW w:w="19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上一年项目数量</w:t>
            </w:r>
          </w:p>
        </w:tc>
        <w:tc>
          <w:tcPr>
            <w:tcW w:w="13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本年增/减</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color w:val="auto"/>
                <w:sz w:val="19"/>
                <w:szCs w:val="19"/>
                <w:highlight w:val="none"/>
              </w:rPr>
              <w:t>处理决定数量</w:t>
            </w:r>
          </w:p>
        </w:tc>
      </w:tr>
      <w:tr>
        <w:tblPrEx>
          <w:tblCellMar>
            <w:top w:w="15" w:type="dxa"/>
            <w:left w:w="15" w:type="dxa"/>
            <w:bottom w:w="15" w:type="dxa"/>
            <w:right w:w="15" w:type="dxa"/>
          </w:tblCellMar>
        </w:tblPrEx>
        <w:trPr>
          <w:trHeight w:val="39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auto"/>
                <w:sz w:val="21"/>
                <w:szCs w:val="21"/>
                <w:highlight w:val="none"/>
              </w:rPr>
            </w:pPr>
            <w:r>
              <w:rPr>
                <w:rStyle w:val="5"/>
                <w:rFonts w:hint="eastAsia" w:ascii="宋体" w:hAnsi="宋体" w:eastAsia="宋体" w:cs="宋体"/>
                <w:color w:val="auto"/>
                <w:sz w:val="19"/>
                <w:szCs w:val="19"/>
                <w:highlight w:val="none"/>
              </w:rPr>
              <w:t>行政处罚</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196</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-3</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83</w:t>
            </w:r>
          </w:p>
        </w:tc>
      </w:tr>
      <w:tr>
        <w:tblPrEx>
          <w:tblCellMar>
            <w:top w:w="15" w:type="dxa"/>
            <w:left w:w="15" w:type="dxa"/>
            <w:bottom w:w="15" w:type="dxa"/>
            <w:right w:w="15" w:type="dxa"/>
          </w:tblCellMar>
        </w:tblPrEx>
        <w:trPr>
          <w:trHeight w:val="37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auto"/>
                <w:sz w:val="21"/>
                <w:szCs w:val="21"/>
                <w:highlight w:val="none"/>
              </w:rPr>
            </w:pPr>
            <w:r>
              <w:rPr>
                <w:rStyle w:val="5"/>
                <w:rFonts w:hint="eastAsia" w:ascii="宋体" w:hAnsi="宋体" w:eastAsia="宋体" w:cs="宋体"/>
                <w:color w:val="auto"/>
                <w:sz w:val="19"/>
                <w:szCs w:val="19"/>
                <w:highlight w:val="none"/>
              </w:rPr>
              <w:t>行政强制</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13</w:t>
            </w:r>
          </w:p>
        </w:tc>
        <w:tc>
          <w:tcPr>
            <w:tcW w:w="13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+6</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auto"/>
                <w:sz w:val="21"/>
                <w:szCs w:val="21"/>
                <w:highlight w:val="none"/>
              </w:rPr>
            </w:pPr>
            <w:r>
              <w:rPr>
                <w:rStyle w:val="5"/>
                <w:rFonts w:hint="eastAsia" w:ascii="宋体" w:hAnsi="宋体" w:eastAsia="宋体" w:cs="宋体"/>
                <w:i w:val="0"/>
                <w:caps w:val="0"/>
                <w:color w:val="auto"/>
                <w:spacing w:val="0"/>
                <w:sz w:val="19"/>
                <w:szCs w:val="19"/>
              </w:rPr>
              <w:t>10</w:t>
            </w:r>
          </w:p>
        </w:tc>
      </w:tr>
      <w:tr>
        <w:tblPrEx>
          <w:tblCellMar>
            <w:top w:w="15" w:type="dxa"/>
            <w:left w:w="15" w:type="dxa"/>
            <w:bottom w:w="15" w:type="dxa"/>
            <w:right w:w="15" w:type="dxa"/>
          </w:tblCellMar>
        </w:tblPrEx>
        <w:trPr>
          <w:trHeight w:val="420"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第二十条第（八）项</w:t>
            </w:r>
          </w:p>
        </w:tc>
      </w:tr>
      <w:tr>
        <w:tblPrEx>
          <w:tblCellMar>
            <w:top w:w="15" w:type="dxa"/>
            <w:left w:w="15" w:type="dxa"/>
            <w:bottom w:w="15" w:type="dxa"/>
            <w:right w:w="15" w:type="dxa"/>
          </w:tblCellMar>
        </w:tblPrEx>
        <w:trPr>
          <w:trHeight w:val="24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上一年项目数量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本年增/减</w:t>
            </w:r>
          </w:p>
        </w:tc>
      </w:tr>
      <w:tr>
        <w:tblPrEx>
          <w:tblCellMar>
            <w:top w:w="15" w:type="dxa"/>
            <w:left w:w="15" w:type="dxa"/>
            <w:bottom w:w="15" w:type="dxa"/>
            <w:right w:w="15" w:type="dxa"/>
          </w:tblCellMar>
        </w:tblPrEx>
        <w:trPr>
          <w:trHeight w:val="49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19"/>
                <w:szCs w:val="19"/>
              </w:rPr>
              <w:t>行政事业性收费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8</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r>
      <w:tr>
        <w:tblPrEx>
          <w:tblCellMar>
            <w:top w:w="15" w:type="dxa"/>
            <w:left w:w="15" w:type="dxa"/>
            <w:bottom w:w="15" w:type="dxa"/>
            <w:right w:w="15" w:type="dxa"/>
          </w:tblCellMar>
        </w:tblPrEx>
        <w:trPr>
          <w:trHeight w:val="435" w:hRule="atLeast"/>
          <w:jc w:val="center"/>
        </w:trPr>
        <w:tc>
          <w:tcPr>
            <w:tcW w:w="8640"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第二十条第（九）项</w:t>
            </w:r>
          </w:p>
        </w:tc>
      </w:tr>
      <w:tr>
        <w:tblPrEx>
          <w:tblCellMar>
            <w:top w:w="15" w:type="dxa"/>
            <w:left w:w="15" w:type="dxa"/>
            <w:bottom w:w="15" w:type="dxa"/>
            <w:right w:w="15" w:type="dxa"/>
          </w:tblCellMar>
        </w:tblPrEx>
        <w:trPr>
          <w:trHeight w:val="525"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信息内容</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采购项目数量</w:t>
            </w:r>
          </w:p>
        </w:tc>
        <w:tc>
          <w:tcPr>
            <w:tcW w:w="3345"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采购总金额</w:t>
            </w:r>
          </w:p>
        </w:tc>
      </w:tr>
      <w:tr>
        <w:tblPrEx>
          <w:tblCellMar>
            <w:top w:w="15" w:type="dxa"/>
            <w:left w:w="15" w:type="dxa"/>
            <w:bottom w:w="15" w:type="dxa"/>
            <w:right w:w="15" w:type="dxa"/>
          </w:tblCellMar>
        </w:tblPrEx>
        <w:trPr>
          <w:trHeight w:val="480" w:hRule="atLeast"/>
          <w:jc w:val="center"/>
        </w:trPr>
        <w:tc>
          <w:tcPr>
            <w:tcW w:w="33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19"/>
                <w:szCs w:val="19"/>
              </w:rPr>
              <w:t>政府集中采购</w:t>
            </w:r>
          </w:p>
        </w:tc>
        <w:tc>
          <w:tcPr>
            <w:tcW w:w="19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21"/>
                <w:szCs w:val="21"/>
              </w:rPr>
              <w:t>159</w:t>
            </w:r>
          </w:p>
        </w:tc>
        <w:tc>
          <w:tcPr>
            <w:tcW w:w="3345"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24"/>
                <w:szCs w:val="24"/>
              </w:rPr>
              <w:t>1225.80万元</w:t>
            </w:r>
          </w:p>
        </w:tc>
      </w:tr>
    </w:tbl>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三、收到和处理政府信息公开申请情况</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tbl>
      <w:tblPr>
        <w:tblStyle w:val="3"/>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5"/>
        <w:gridCol w:w="855"/>
        <w:gridCol w:w="2340"/>
        <w:gridCol w:w="810"/>
        <w:gridCol w:w="750"/>
        <w:gridCol w:w="750"/>
        <w:gridCol w:w="810"/>
        <w:gridCol w:w="975"/>
        <w:gridCol w:w="705"/>
        <w:gridCol w:w="7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381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（本列数据的勾稽关系为：第一项加第二项之和，等于第三项加第四项之和）</w:t>
            </w:r>
          </w:p>
        </w:tc>
        <w:tc>
          <w:tcPr>
            <w:tcW w:w="550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自然人</w:t>
            </w:r>
          </w:p>
        </w:tc>
        <w:tc>
          <w:tcPr>
            <w:tcW w:w="399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 w:hRule="atLeast"/>
          <w:jc w:val="center"/>
        </w:trPr>
        <w:tc>
          <w:tcPr>
            <w:tcW w:w="38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商业企业</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科研机构</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社会公益组织</w:t>
            </w:r>
          </w:p>
        </w:tc>
        <w:tc>
          <w:tcPr>
            <w:tcW w:w="9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19"/>
                <w:szCs w:val="19"/>
              </w:rPr>
              <w:t>一、本年新收政府信息公开申请数量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11</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19"/>
                <w:szCs w:val="19"/>
              </w:rPr>
              <w:t>二、上年结转政府信息公开申请数量</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三、本年度办理结果</w:t>
            </w: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ascii="楷体" w:hAnsi="楷体" w:eastAsia="楷体" w:cs="楷体"/>
                <w:sz w:val="19"/>
                <w:szCs w:val="19"/>
              </w:rPr>
              <w:t>（一）予以公开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3</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21"/>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（三）不予公开</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1.属于国家秘密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2.其他法律行政法规禁止公开</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3.危及“三安全一稳定”</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4.保护第三方合法权益</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5.属于三类内部事务信息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6.属于四类过程性信息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7.属于行政执法案卷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8.属于行政查询事项</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（四）无法提供</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1.本机关不掌握相关政府信息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4</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21"/>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2.没有现成信息需要另行制作</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1</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1</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3.补正后申请内容仍不明确</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（五）不予处理</w:t>
            </w: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1.信访举报投诉类申请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2.重复申请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2</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21"/>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3.要求提供公开出版物</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4.无正当理由大量反复申请</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3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（六）其他处理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319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楷体" w:hAnsi="楷体" w:eastAsia="楷体" w:cs="楷体"/>
                <w:sz w:val="19"/>
                <w:szCs w:val="19"/>
              </w:rPr>
              <w:t>（七）总计</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11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1</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jc w:val="center"/>
        </w:trPr>
        <w:tc>
          <w:tcPr>
            <w:tcW w:w="38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19"/>
                <w:szCs w:val="19"/>
              </w:rPr>
              <w:t>四、结转下年度继续办理</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24"/>
                <w:szCs w:val="24"/>
              </w:rPr>
              <w:t>0</w:t>
            </w:r>
          </w:p>
        </w:tc>
      </w:tr>
    </w:tbl>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pPr>
      <w:r>
        <w:rPr>
          <w:rStyle w:val="5"/>
          <w:rFonts w:hint="eastAsia" w:ascii="方正黑体简体" w:hAnsi="方正黑体简体" w:eastAsia="方正黑体简体" w:cs="方正黑体简体"/>
          <w:spacing w:val="0"/>
          <w:sz w:val="31"/>
          <w:szCs w:val="31"/>
          <w:shd w:val="clear" w:fill="FFFFFF"/>
        </w:rPr>
        <w:t>四、政府信息公开行政复议、行政诉讼情况</w:t>
      </w:r>
    </w:p>
    <w:tbl>
      <w:tblPr>
        <w:tblStyle w:val="3"/>
        <w:tblW w:w="90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1</w:t>
            </w:r>
            <w:r>
              <w:rPr>
                <w:rStyle w:val="5"/>
                <w:rFonts w:hint="default" w:ascii="Calibri" w:hAnsi="Calibri" w:cs="Calibri"/>
                <w:sz w:val="19"/>
                <w:szCs w:val="19"/>
              </w:rPr>
              <w:t>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w:t>
            </w:r>
            <w:r>
              <w:rPr>
                <w:rStyle w:val="5"/>
                <w:rFonts w:hint="default" w:ascii="Calibri" w:hAnsi="Calibri" w:cs="Calibri"/>
                <w:sz w:val="19"/>
                <w:szCs w:val="19"/>
              </w:rPr>
              <w:t> </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default" w:ascii="Calibri" w:hAnsi="Calibri" w:cs="Calibri"/>
                <w:sz w:val="19"/>
                <w:szCs w:val="19"/>
              </w:rPr>
              <w:t> </w:t>
            </w:r>
            <w:r>
              <w:rPr>
                <w:rStyle w:val="5"/>
                <w:rFonts w:hint="eastAsia" w:ascii="宋体" w:hAnsi="宋体" w:eastAsia="宋体" w:cs="宋体"/>
                <w:sz w:val="19"/>
                <w:szCs w:val="19"/>
              </w:rPr>
              <w:t>1</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 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Style w:val="5"/>
                <w:rFonts w:hint="eastAsia" w:ascii="宋体" w:hAnsi="宋体" w:eastAsia="宋体" w:cs="宋体"/>
                <w:sz w:val="19"/>
                <w:szCs w:val="19"/>
              </w:rP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Style w:val="5"/>
                <w:rFonts w:hint="eastAsia" w:ascii="宋体" w:hAnsi="宋体" w:eastAsia="宋体" w:cs="宋体"/>
                <w:sz w:val="24"/>
                <w:szCs w:val="24"/>
              </w:rPr>
              <w:t>0</w:t>
            </w:r>
          </w:p>
        </w:tc>
      </w:tr>
    </w:tbl>
    <w:p>
      <w:pPr>
        <w:pStyle w:val="2"/>
        <w:keepNext w:val="0"/>
        <w:keepLines w:val="0"/>
        <w:widowControl/>
        <w:suppressLineNumbers w:val="0"/>
        <w:spacing w:before="0" w:beforeAutospacing="0" w:after="0" w:afterAutospacing="0" w:line="600" w:lineRule="atLeast"/>
        <w:ind w:left="0" w:right="0"/>
        <w:jc w:val="both"/>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jc w:val="both"/>
      </w:pPr>
      <w:r>
        <w:rPr>
          <w:rStyle w:val="5"/>
          <w:rFonts w:hint="eastAsia" w:ascii="方正黑体简体" w:hAnsi="方正黑体简体" w:eastAsia="方正黑体简体" w:cs="方正黑体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jc w:val="both"/>
      </w:pPr>
      <w:r>
        <w:rPr>
          <w:rStyle w:val="5"/>
          <w:rFonts w:hint="eastAsia" w:ascii="方正黑体简体" w:hAnsi="方正黑体简体" w:eastAsia="方正黑体简体" w:cs="方正黑体简体"/>
          <w:spacing w:val="0"/>
          <w:sz w:val="31"/>
          <w:szCs w:val="31"/>
          <w:shd w:val="clear" w:fill="FFFFFF"/>
        </w:rPr>
        <w:t>五、存在的主要问题及改进情况</w:t>
      </w:r>
    </w:p>
    <w:p>
      <w:pPr>
        <w:pStyle w:val="2"/>
        <w:keepNext w:val="0"/>
        <w:keepLines w:val="0"/>
        <w:widowControl/>
        <w:suppressLineNumbers w:val="0"/>
        <w:spacing w:before="0" w:beforeAutospacing="0" w:after="0" w:afterAutospacing="0" w:line="600" w:lineRule="atLeast"/>
        <w:ind w:left="0" w:right="0" w:firstLine="600"/>
        <w:jc w:val="both"/>
      </w:pPr>
      <w:r>
        <w:rPr>
          <w:rStyle w:val="5"/>
          <w:rFonts w:hint="eastAsia" w:ascii="方正仿宋简体" w:hAnsi="方正仿宋简体" w:eastAsia="方正仿宋简体" w:cs="方正仿宋简体"/>
          <w:spacing w:val="0"/>
          <w:sz w:val="31"/>
          <w:szCs w:val="31"/>
          <w:shd w:val="clear" w:fill="FFFFFF"/>
        </w:rPr>
        <w:t>我区政府信息公开工作虽然取得了一定的成绩，但与国家、省市要求相比仍有一定差距，主要表现：一是机构设置不够完善。新区成立时间晚，信息公开工作步入正轨的时间更晚，目前，新区政府信息公开工作是由党政办公室信息科负责，各镇街，部门、单位政务公开工作机构大多有名而无实，具体工作指定单位办公室或业务科室1名工作人员承担；二是业务水平不够均衡。除部分单位人员变动频繁外，还存在工作人员不懂什么是政务公开、不知道公开流程、不会实际操作、人员变动时不进行工作交接等情况。个别单位的领导认识上存在误区，怕政务公开制约自身权力，加大工作难度，不认真、不下力去抓。三是公开内容不规范。个别领域公开的信息内容不全面、重点不突出、格式不规范，未形成系统性工作，有的公开内容长期不更新或缺乏动态内容，失去了公开的意义。在开展具体工作过程中，协调困难、推进吃力，双管部门只将信息上报至市局，很多信息无法及时获取，存在明显滞后性。</w:t>
      </w:r>
    </w:p>
    <w:p>
      <w:pPr>
        <w:pStyle w:val="2"/>
        <w:keepNext w:val="0"/>
        <w:keepLines w:val="0"/>
        <w:widowControl/>
        <w:suppressLineNumbers w:val="0"/>
        <w:spacing w:before="0" w:beforeAutospacing="0" w:after="0" w:afterAutospacing="0" w:line="600" w:lineRule="atLeast"/>
        <w:ind w:left="0" w:right="0" w:firstLine="600"/>
        <w:jc w:val="both"/>
      </w:pPr>
      <w:r>
        <w:rPr>
          <w:rStyle w:val="5"/>
          <w:rFonts w:hint="eastAsia" w:ascii="方正仿宋简体" w:hAnsi="方正仿宋简体" w:eastAsia="方正仿宋简体" w:cs="方正仿宋简体"/>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firstLine="600"/>
        <w:jc w:val="both"/>
      </w:pPr>
      <w:r>
        <w:rPr>
          <w:rStyle w:val="5"/>
          <w:rFonts w:hint="eastAsia" w:ascii="方正黑体简体" w:hAnsi="方正黑体简体" w:eastAsia="方正黑体简体" w:cs="方正黑体简体"/>
          <w:spacing w:val="0"/>
          <w:sz w:val="31"/>
          <w:szCs w:val="31"/>
          <w:shd w:val="clear" w:fill="FFFFFF"/>
        </w:rPr>
        <w:t>六、其他需要报告的事项</w:t>
      </w:r>
    </w:p>
    <w:p>
      <w:pPr>
        <w:pStyle w:val="2"/>
        <w:keepNext w:val="0"/>
        <w:keepLines w:val="0"/>
        <w:widowControl/>
        <w:suppressLineNumbers w:val="0"/>
        <w:spacing w:before="0" w:beforeAutospacing="0" w:after="0" w:afterAutospacing="0" w:line="600" w:lineRule="atLeast"/>
        <w:ind w:left="0" w:right="0" w:firstLine="600"/>
        <w:jc w:val="both"/>
        <w:rPr>
          <w:rFonts w:hint="eastAsia" w:eastAsia="方正仿宋简体"/>
          <w:lang w:eastAsia="zh-CN"/>
        </w:rPr>
      </w:pPr>
      <w:r>
        <w:rPr>
          <w:rStyle w:val="5"/>
          <w:rFonts w:hint="eastAsia" w:ascii="方正仿宋简体" w:hAnsi="方正仿宋简体" w:eastAsia="方正仿宋简体" w:cs="方正仿宋简体"/>
          <w:spacing w:val="0"/>
          <w:sz w:val="31"/>
          <w:szCs w:val="31"/>
          <w:shd w:val="clear" w:fill="FFFFFF"/>
          <w:lang w:eastAsia="zh-CN"/>
        </w:rPr>
        <w:t>本报告电子版可在“济宁太白湖新区管理委员会”门户网站（http://bhdjq.jining.gov.cn/）查阅或下载。如对本报告有任何疑问，请与济宁太白湖新区管理委员会办公室联系（地址：济宁太白湖新区奥体路新城发展大厦</w:t>
      </w:r>
      <w:r>
        <w:rPr>
          <w:rStyle w:val="5"/>
          <w:rFonts w:hint="eastAsia" w:ascii="方正仿宋简体" w:hAnsi="方正仿宋简体" w:eastAsia="方正仿宋简体" w:cs="方正仿宋简体"/>
          <w:spacing w:val="0"/>
          <w:sz w:val="31"/>
          <w:szCs w:val="31"/>
          <w:shd w:val="clear" w:fill="FFFFFF"/>
          <w:lang w:val="en-US" w:eastAsia="zh-CN"/>
        </w:rPr>
        <w:t>A座；</w:t>
      </w:r>
      <w:r>
        <w:rPr>
          <w:rStyle w:val="5"/>
          <w:rFonts w:hint="eastAsia" w:ascii="方正仿宋简体" w:hAnsi="方正仿宋简体" w:eastAsia="方正仿宋简体" w:cs="方正仿宋简体"/>
          <w:spacing w:val="0"/>
          <w:sz w:val="31"/>
          <w:szCs w:val="31"/>
          <w:shd w:val="clear" w:fill="FFFFFF"/>
          <w:lang w:eastAsia="zh-CN"/>
        </w:rPr>
        <w:t>邮政编码：272000；传真号码：0537-3297123；电话：</w:t>
      </w:r>
      <w:r>
        <w:rPr>
          <w:rStyle w:val="5"/>
          <w:rFonts w:hint="eastAsia" w:ascii="方正仿宋简体" w:hAnsi="方正仿宋简体" w:eastAsia="方正仿宋简体" w:cs="方正仿宋简体"/>
          <w:spacing w:val="0"/>
          <w:sz w:val="31"/>
          <w:szCs w:val="31"/>
          <w:shd w:val="clear" w:fill="FFFFFF"/>
          <w:lang w:val="en-US" w:eastAsia="zh-CN"/>
        </w:rPr>
        <w:t>0537-3297078；电子邮箱：bhgzdt@163.com</w:t>
      </w:r>
      <w:r>
        <w:rPr>
          <w:rStyle w:val="5"/>
          <w:rFonts w:hint="eastAsia" w:ascii="方正仿宋简体" w:hAnsi="方正仿宋简体" w:eastAsia="方正仿宋简体" w:cs="方正仿宋简体"/>
          <w:spacing w:val="0"/>
          <w:sz w:val="31"/>
          <w:szCs w:val="31"/>
          <w:shd w:val="clear" w:fill="FFFFFF"/>
          <w:lang w:eastAsia="zh-CN"/>
        </w:rPr>
        <w:t>）</w:t>
      </w:r>
    </w:p>
    <w:p>
      <w:pPr>
        <w:pStyle w:val="2"/>
        <w:keepNext w:val="0"/>
        <w:keepLines w:val="0"/>
        <w:widowControl/>
        <w:suppressLineNumbers w:val="0"/>
        <w:spacing w:before="0" w:beforeAutospacing="0" w:after="0" w:afterAutospacing="0" w:line="420" w:lineRule="atLeast"/>
        <w:ind w:left="0" w:right="0"/>
        <w:rPr>
          <w:sz w:val="21"/>
          <w:szCs w:val="21"/>
        </w:rPr>
      </w:pPr>
      <w:r>
        <w:rPr>
          <w:rStyle w:val="5"/>
          <w:rFonts w:hint="default" w:ascii="Calibri" w:hAnsi="Calibri" w:cs="Calibri"/>
          <w:sz w:val="21"/>
          <w:szCs w:val="21"/>
        </w:rPr>
        <w:t> </w:t>
      </w:r>
    </w:p>
    <w:p>
      <w:pPr>
        <w:pStyle w:val="2"/>
        <w:keepNext w:val="0"/>
        <w:keepLines w:val="0"/>
        <w:widowControl/>
        <w:suppressLineNumbers w:val="0"/>
        <w:spacing w:before="0" w:beforeAutospacing="0" w:after="0" w:afterAutospacing="0" w:line="420"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94E61"/>
    <w:rsid w:val="0F092BF1"/>
    <w:rsid w:val="21877546"/>
    <w:rsid w:val="31DC0949"/>
    <w:rsid w:val="43965887"/>
    <w:rsid w:val="775170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2021-05-31T03:07:31Z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C02928ED3A7B4753A892B78F5ACE1186</vt:lpwstr>
  </property>
  <property fmtid="{D5CDD505-2E9C-101B-9397-08002B2CF9AE}" pid="4" name="KSOSaveFontToCloudKey">
    <vt:lpwstr>280056856_cloud</vt:lpwstr>
  </property>
</Properties>
</file>