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5" w:rightChars="-50"/>
        <w:rPr>
          <w:rFonts w:ascii="方正仿宋简体" w:eastAsia="方正仿宋简体"/>
          <w:b/>
          <w:color w:val="000000"/>
          <w:sz w:val="32"/>
          <w:szCs w:val="32"/>
        </w:rPr>
      </w:pPr>
    </w:p>
    <w:p>
      <w:pPr>
        <w:spacing w:line="590" w:lineRule="exact"/>
        <w:ind w:right="-105" w:rightChars="-50"/>
        <w:jc w:val="center"/>
        <w:outlineLvl w:val="0"/>
        <w:rPr>
          <w:rFonts w:hint="eastAsia" w:ascii="方正小标宋简体" w:eastAsia="方正小标宋简体"/>
          <w:b/>
          <w:color w:val="000000"/>
          <w:sz w:val="44"/>
          <w:szCs w:val="44"/>
        </w:rPr>
      </w:pPr>
      <w:r>
        <w:rPr>
          <w:rFonts w:hint="eastAsia" w:ascii="方正小标宋简体" w:eastAsia="方正小标宋简体"/>
          <w:b/>
          <w:color w:val="000000"/>
          <w:sz w:val="44"/>
          <w:szCs w:val="44"/>
          <w:lang w:eastAsia="zh-CN"/>
        </w:rPr>
        <w:t>济宁市财政局北湖分局</w:t>
      </w:r>
      <w:r>
        <w:rPr>
          <w:rFonts w:hint="eastAsia" w:ascii="方正小标宋简体" w:eastAsia="方正小标宋简体"/>
          <w:b/>
          <w:color w:val="000000"/>
          <w:sz w:val="44"/>
          <w:szCs w:val="44"/>
        </w:rPr>
        <w:t>2022年政府信息</w:t>
      </w:r>
    </w:p>
    <w:p>
      <w:pPr>
        <w:spacing w:line="590" w:lineRule="exact"/>
        <w:ind w:right="-105" w:rightChars="-50"/>
        <w:jc w:val="center"/>
        <w:outlineLvl w:val="0"/>
        <w:rPr>
          <w:rFonts w:ascii="方正小标宋简体" w:eastAsia="方正小标宋简体"/>
          <w:b/>
          <w:color w:val="000000"/>
          <w:sz w:val="44"/>
          <w:szCs w:val="44"/>
        </w:rPr>
      </w:pPr>
      <w:r>
        <w:rPr>
          <w:rFonts w:hint="eastAsia" w:ascii="方正小标宋简体" w:eastAsia="方正小标宋简体"/>
          <w:b/>
          <w:color w:val="000000"/>
          <w:sz w:val="44"/>
          <w:szCs w:val="44"/>
        </w:rPr>
        <w:t>公开工作年度报告</w:t>
      </w:r>
    </w:p>
    <w:p>
      <w:pPr>
        <w:spacing w:line="590" w:lineRule="exact"/>
        <w:ind w:right="-105" w:rightChars="-50" w:firstLine="643" w:firstLineChars="200"/>
        <w:rPr>
          <w:rFonts w:ascii="方正仿宋简体" w:eastAsia="方正仿宋简体"/>
          <w:b/>
          <w:color w:val="000000"/>
          <w:sz w:val="32"/>
          <w:szCs w:val="32"/>
        </w:rPr>
      </w:pPr>
    </w:p>
    <w:p>
      <w:pPr>
        <w:spacing w:line="590" w:lineRule="exact"/>
        <w:ind w:right="-105" w:rightChars="-50" w:firstLine="643" w:firstLineChars="200"/>
        <w:rPr>
          <w:rFonts w:ascii="方正仿宋简体" w:eastAsia="方正仿宋简体"/>
          <w:b/>
          <w:color w:val="000000"/>
          <w:spacing w:val="-11"/>
          <w:sz w:val="32"/>
          <w:szCs w:val="32"/>
        </w:rPr>
      </w:pPr>
      <w:r>
        <w:rPr>
          <w:rFonts w:hint="eastAsia" w:ascii="方正仿宋简体" w:eastAsia="方正仿宋简体"/>
          <w:b/>
          <w:color w:val="000000"/>
          <w:sz w:val="32"/>
          <w:szCs w:val="32"/>
        </w:rPr>
        <w:t>本报告由</w:t>
      </w:r>
      <w:r>
        <w:rPr>
          <w:rFonts w:hint="eastAsia" w:ascii="方正仿宋简体" w:eastAsia="方正仿宋简体"/>
          <w:b/>
          <w:color w:val="000000"/>
          <w:sz w:val="32"/>
          <w:szCs w:val="32"/>
          <w:lang w:eastAsia="zh-CN"/>
        </w:rPr>
        <w:t>济宁市财政局北湖分局</w:t>
      </w:r>
      <w:r>
        <w:rPr>
          <w:rFonts w:hint="eastAsia" w:ascii="方正仿宋简体" w:eastAsia="方正仿宋简体"/>
          <w:b/>
          <w:color w:val="000000"/>
          <w:sz w:val="32"/>
          <w:szCs w:val="32"/>
        </w:rPr>
        <w:t>按照《中华人民共和国政府信息公开条例》（以下简称《条例》）和《中华人民共和国政府信息</w:t>
      </w:r>
      <w:r>
        <w:rPr>
          <w:rFonts w:hint="eastAsia" w:ascii="方正仿宋简体" w:eastAsia="方正仿宋简体"/>
          <w:b/>
          <w:color w:val="000000"/>
          <w:spacing w:val="-11"/>
          <w:sz w:val="32"/>
          <w:szCs w:val="32"/>
        </w:rPr>
        <w:t>公开工作年度报告格式》（国办公开办函〔2021〕30号）要求编制。</w:t>
      </w:r>
    </w:p>
    <w:p>
      <w:pPr>
        <w:spacing w:line="590" w:lineRule="exact"/>
        <w:ind w:right="-105"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5"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本报告所列数据的统计期限自2022年1月1日起至2022年12月31日止。本报告电子版可在“中国·济宁”政府门户网站（http://bhdjq.jining.gov.cn/）查阅或下载。如对本报告有疑问，请与</w:t>
      </w:r>
      <w:r>
        <w:rPr>
          <w:rFonts w:hint="eastAsia" w:ascii="方正仿宋简体" w:eastAsia="方正仿宋简体"/>
          <w:b/>
          <w:color w:val="000000"/>
          <w:sz w:val="32"/>
          <w:szCs w:val="32"/>
          <w:lang w:eastAsia="zh-CN"/>
        </w:rPr>
        <w:t>济宁市财政局北湖分局</w:t>
      </w:r>
      <w:r>
        <w:rPr>
          <w:rFonts w:hint="eastAsia" w:ascii="方正仿宋简体" w:eastAsia="方正仿宋简体"/>
          <w:b/>
          <w:color w:val="000000"/>
          <w:sz w:val="32"/>
          <w:szCs w:val="32"/>
        </w:rPr>
        <w:t>联系（地址：济宁太白湖新区奥体路新城发展大厦A座，联系电话：0537—6537215）。</w:t>
      </w:r>
    </w:p>
    <w:p>
      <w:pPr>
        <w:spacing w:line="590" w:lineRule="exact"/>
        <w:ind w:right="-105" w:rightChars="-50" w:firstLine="643" w:firstLineChars="200"/>
        <w:rPr>
          <w:rFonts w:ascii="方正黑体简体" w:eastAsia="方正黑体简体"/>
          <w:b/>
          <w:color w:val="000000"/>
          <w:sz w:val="32"/>
          <w:szCs w:val="32"/>
        </w:rPr>
      </w:pPr>
      <w:r>
        <w:rPr>
          <w:rFonts w:hint="eastAsia" w:ascii="方正黑体简体" w:eastAsia="方正黑体简体"/>
          <w:b/>
          <w:color w:val="000000"/>
          <w:sz w:val="32"/>
          <w:szCs w:val="32"/>
        </w:rPr>
        <w:t>一、总体情况</w:t>
      </w:r>
    </w:p>
    <w:p>
      <w:pPr>
        <w:spacing w:line="590" w:lineRule="exact"/>
        <w:ind w:right="-105" w:rightChars="-50" w:firstLine="643"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lang w:val="en-US" w:eastAsia="zh-CN"/>
        </w:rPr>
        <w:t>2022年，济宁市财政局北湖分局严格按照济宁太白湖新区管委会要求，深入贯彻落实《中华人民共和国政府信息公开条例》及省、市政府关于全面推进政务公开的决策部署，结合工作实际，编制了《济宁市财政局北湖分局信息公开指南（2022年12月修订版）》《2022年济宁市财政局北湖分局主动公开基本目录》《2022年济宁太白湖新区财政预决算领域基层政务公开标准目录》。</w:t>
      </w:r>
    </w:p>
    <w:p>
      <w:pPr>
        <w:spacing w:line="590" w:lineRule="exact"/>
        <w:ind w:right="-105"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（一）主动公开情况</w:t>
      </w:r>
    </w:p>
    <w:p>
      <w:pPr>
        <w:spacing w:line="590" w:lineRule="exact"/>
        <w:ind w:right="-105" w:rightChars="-50" w:firstLine="643" w:firstLineChars="200"/>
        <w:rPr>
          <w:rFonts w:hint="eastAsia" w:ascii="方正仿宋简体" w:eastAsia="方正仿宋简体"/>
          <w:b/>
          <w:color w:val="000000"/>
          <w:sz w:val="32"/>
          <w:szCs w:val="32"/>
          <w:lang w:eastAsia="zh-CN"/>
        </w:rPr>
      </w:pPr>
      <w:r>
        <w:rPr>
          <w:rFonts w:hint="eastAsia" w:ascii="方正仿宋简体" w:eastAsia="方正仿宋简体"/>
          <w:b/>
          <w:color w:val="000000"/>
          <w:sz w:val="32"/>
          <w:szCs w:val="32"/>
          <w:lang w:val="en-US" w:eastAsia="zh-CN"/>
        </w:rPr>
        <w:t>根据《山东省政府信息主动公开基本目录》等文件要求，区财政分局全面对照2022年政务公开重点工作分工进行落实，完善我局政务公开基本目录，更新基层政务公开标准目录。全年累计主动公开信息64条。其中，政策解读2条，财政预决算6条，财政收支信息12条，政府债务4条，价格与收费7条，政府采购7条，国资国企10条，政务公开信息4条，绩效管理信息12条。</w:t>
      </w:r>
    </w:p>
    <w:p>
      <w:pPr>
        <w:pStyle w:val="2"/>
        <w:jc w:val="center"/>
        <w:rPr>
          <w:rFonts w:hint="eastAsia"/>
        </w:rPr>
      </w:pPr>
      <w:r>
        <w:rPr>
          <w:rFonts w:hint="eastAsia" w:ascii="方正仿宋简体" w:eastAsia="方正仿宋简体"/>
          <w:b/>
          <w:color w:val="000000"/>
          <w:sz w:val="32"/>
          <w:szCs w:val="32"/>
          <w:lang w:eastAsia="zh-CN"/>
        </w:rPr>
        <w:drawing>
          <wp:inline distT="0" distB="0" distL="114300" distR="114300">
            <wp:extent cx="5080000" cy="3810000"/>
            <wp:effectExtent l="0" t="0" r="635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line="590" w:lineRule="exact"/>
        <w:ind w:right="-105"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（二）依申请公开情况</w:t>
      </w:r>
    </w:p>
    <w:p>
      <w:pPr>
        <w:spacing w:line="590" w:lineRule="exact"/>
        <w:ind w:right="-105" w:rightChars="-50" w:firstLine="643"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lang w:val="en-US" w:eastAsia="zh-CN"/>
        </w:rPr>
        <w:t>2022年，我单位未收到政府信息公开申请。</w:t>
      </w:r>
    </w:p>
    <w:p>
      <w:pPr>
        <w:spacing w:line="590" w:lineRule="exact"/>
        <w:ind w:right="-105"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（三）政府信息管理情况</w:t>
      </w:r>
    </w:p>
    <w:p>
      <w:pPr>
        <w:spacing w:line="590" w:lineRule="exact"/>
        <w:ind w:right="-105" w:rightChars="-50"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rPr>
        <w:t>根据信息发布有关制度要求，设立政务信息公开台账，明确第一责任人，指定信息审核负责人。</w:t>
      </w:r>
      <w:r>
        <w:rPr>
          <w:rFonts w:hint="eastAsia" w:ascii="方正仿宋简体" w:eastAsia="方正仿宋简体"/>
          <w:b/>
          <w:color w:val="000000"/>
          <w:sz w:val="32"/>
          <w:szCs w:val="32"/>
          <w:lang w:val="en-US" w:eastAsia="zh-CN"/>
        </w:rPr>
        <w:t>编制了信息公开指南、信息公开目录，在平台上集中公开财政业务办理流程和相关政策文件、标准，方便群众办事，主动接受监督。</w:t>
      </w:r>
    </w:p>
    <w:p>
      <w:pPr>
        <w:spacing w:line="590" w:lineRule="exact"/>
        <w:ind w:right="-105" w:rightChars="-50"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进一步优化政府网站智能化水平，提升搜索结果的准确性，并根据关键词聚合相关信息和服务，实现更加精准的“搜索即服务”。</w:t>
      </w:r>
    </w:p>
    <w:p>
      <w:pPr>
        <w:spacing w:line="590" w:lineRule="exact"/>
        <w:ind w:right="-105" w:rightChars="-50" w:firstLine="643" w:firstLineChars="200"/>
        <w:rPr>
          <w:rFonts w:hint="eastAsia" w:ascii="方正仿宋简体" w:eastAsia="方正仿宋简体"/>
          <w:b/>
          <w:color w:val="000000"/>
          <w:sz w:val="32"/>
          <w:szCs w:val="32"/>
          <w:lang w:val="en-US" w:eastAsia="zh-CN"/>
        </w:rPr>
      </w:pPr>
      <w:r>
        <w:rPr>
          <w:rFonts w:hint="eastAsia" w:ascii="方正楷体简体" w:eastAsia="方正楷体简体"/>
          <w:b/>
          <w:color w:val="000000"/>
          <w:sz w:val="32"/>
          <w:szCs w:val="32"/>
        </w:rPr>
        <w:t>（四）政府信息公开平台建设情况</w:t>
      </w:r>
    </w:p>
    <w:p>
      <w:pPr>
        <w:spacing w:line="590" w:lineRule="exact"/>
        <w:ind w:right="-105" w:rightChars="-50"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严格按照标准要求对专栏进行调整优化，优化财政信息、价格与收费、政府采购、公共监管等专栏，通过公开目录的标准化实现公开内容的精细化、规范化。其中，财政信息栏目下公开了财政预决算、三公经费、财政收支和政务债务；价格与收费栏目下公开了全区行政事业性收费目录、政府性基金目录和涉企保证金；政府采购栏目下公开了目录标准和实施情况；公共监管栏目下公开了国资国企信息。</w:t>
      </w:r>
    </w:p>
    <w:p>
      <w:pPr>
        <w:spacing w:line="590" w:lineRule="exact"/>
        <w:ind w:right="-105" w:rightChars="-50" w:firstLine="643" w:firstLineChars="200"/>
        <w:rPr>
          <w:rFonts w:hint="eastAsia"/>
          <w:lang w:val="en-US" w:eastAsia="zh-CN"/>
        </w:rPr>
      </w:pPr>
      <w:r>
        <w:rPr>
          <w:rFonts w:hint="eastAsia" w:ascii="方正仿宋简体" w:eastAsia="方正仿宋简体"/>
          <w:b/>
          <w:color w:val="000000"/>
          <w:sz w:val="32"/>
          <w:szCs w:val="32"/>
          <w:lang w:val="en-US" w:eastAsia="zh-CN"/>
        </w:rPr>
        <w:t>在政府信息公开专栏公开了部门预决算，根据济宁市财政局要求，新增公开绩效管理信息栏目。</w:t>
      </w:r>
    </w:p>
    <w:p>
      <w:pPr>
        <w:spacing w:line="590" w:lineRule="exact"/>
        <w:ind w:right="-105"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（五）监督保障情况</w:t>
      </w:r>
    </w:p>
    <w:p>
      <w:pPr>
        <w:spacing w:line="590" w:lineRule="exact"/>
        <w:ind w:right="-105"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lang w:val="en-US" w:eastAsia="zh-CN"/>
        </w:rPr>
        <w:t>根据信息发布有关制度要求，确定专人负责贯彻落实上级有关政策规定以及与各业务科室配合做好政务信息公开工作。对政务公开工作积极开展培训。学习贯彻《中华人民共和国政府信息公开条例》；学习贯彻省市区政务公开工作相关文件、领导讲话、政策法规等；了解掌握区财政分局政务公开职责任务，加强对政务公开的内容、程序、方式、时间及监督管理等工作的培训。</w:t>
      </w:r>
    </w:p>
    <w:p>
      <w:pPr>
        <w:spacing w:line="590" w:lineRule="exact"/>
        <w:ind w:right="-105" w:rightChars="-50" w:firstLine="643"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4"/>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黑体简体" w:eastAsia="方正黑体简体"/>
                <w:b/>
                <w:sz w:val="24"/>
              </w:rPr>
            </w:pPr>
            <w:r>
              <w:rPr>
                <w:rFonts w:hint="eastAsia" w:ascii="方正黑体简体" w:hAnsi="宋体" w:eastAsia="方正黑体简体" w:cs="宋体"/>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2133"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本年制发件数</w:t>
            </w:r>
          </w:p>
        </w:tc>
        <w:tc>
          <w:tcPr>
            <w:tcW w:w="2216"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本年废止件数</w:t>
            </w:r>
          </w:p>
        </w:tc>
        <w:tc>
          <w:tcPr>
            <w:tcW w:w="1989"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规章</w:t>
            </w:r>
          </w:p>
        </w:tc>
        <w:tc>
          <w:tcPr>
            <w:tcW w:w="2133"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行政规范性文件</w:t>
            </w:r>
          </w:p>
        </w:tc>
        <w:tc>
          <w:tcPr>
            <w:tcW w:w="2133"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行政许可</w:t>
            </w:r>
          </w:p>
        </w:tc>
        <w:tc>
          <w:tcPr>
            <w:tcW w:w="6338" w:type="dxa"/>
            <w:gridSpan w:val="3"/>
            <w:shd w:val="clear" w:color="auto" w:fill="auto"/>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行政处罚</w:t>
            </w:r>
          </w:p>
        </w:tc>
        <w:tc>
          <w:tcPr>
            <w:tcW w:w="6338" w:type="dxa"/>
            <w:gridSpan w:val="3"/>
            <w:shd w:val="clear" w:color="auto" w:fill="auto"/>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行政强制</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行政事业性收费</w:t>
            </w:r>
          </w:p>
        </w:tc>
        <w:tc>
          <w:tcPr>
            <w:tcW w:w="6338" w:type="dxa"/>
            <w:gridSpan w:val="3"/>
            <w:shd w:val="clear" w:color="auto" w:fill="auto"/>
            <w:tcMar>
              <w:left w:w="57" w:type="dxa"/>
              <w:right w:w="57" w:type="dxa"/>
            </w:tcMar>
            <w:vAlign w:val="center"/>
          </w:tcPr>
          <w:p>
            <w:pPr>
              <w:spacing w:line="340" w:lineRule="exact"/>
              <w:jc w:val="center"/>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r>
    </w:tbl>
    <w:p>
      <w:pPr>
        <w:spacing w:before="62" w:beforeLines="10" w:after="62" w:afterLines="10" w:line="600" w:lineRule="exact"/>
        <w:ind w:firstLine="643"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sz w:val="21"/>
                <w:szCs w:val="21"/>
              </w:rPr>
            </w:pPr>
          </w:p>
        </w:tc>
        <w:tc>
          <w:tcPr>
            <w:tcW w:w="59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bl>
    <w:p>
      <w:pPr>
        <w:spacing w:line="590" w:lineRule="exact"/>
        <w:ind w:right="-105" w:rightChars="-50" w:firstLine="643"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4"/>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88" w:type="dxa"/>
            <w:gridSpan w:val="5"/>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行政复议</w:t>
            </w:r>
          </w:p>
        </w:tc>
        <w:tc>
          <w:tcPr>
            <w:tcW w:w="5922" w:type="dxa"/>
            <w:gridSpan w:val="10"/>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结果维持</w:t>
            </w:r>
          </w:p>
        </w:tc>
        <w:tc>
          <w:tcPr>
            <w:tcW w:w="621" w:type="dxa"/>
            <w:vMerge w:val="restart"/>
            <w:tcMar>
              <w:left w:w="108" w:type="dxa"/>
              <w:right w:w="108" w:type="dxa"/>
            </w:tcMar>
            <w:vAlign w:val="center"/>
          </w:tcPr>
          <w:p>
            <w:pPr>
              <w:widowControl/>
              <w:spacing w:line="340" w:lineRule="exact"/>
              <w:ind w:left="-42" w:leftChars="-20" w:right="-42" w:rightChars="-20"/>
              <w:jc w:val="center"/>
              <w:rPr>
                <w:rFonts w:ascii="方正黑体简体" w:hAnsi="宋体" w:eastAsia="方正黑体简体" w:cs="宋体"/>
                <w:sz w:val="21"/>
                <w:szCs w:val="21"/>
                <w:lang w:bidi="ar"/>
              </w:rPr>
            </w:pPr>
            <w:r>
              <w:rPr>
                <w:rFonts w:hint="eastAsia" w:ascii="方正黑体简体" w:hAnsi="宋体" w:eastAsia="方正黑体简体" w:cs="宋体"/>
                <w:sz w:val="21"/>
                <w:szCs w:val="21"/>
                <w:lang w:bidi="ar"/>
              </w:rPr>
              <w:t>结果</w:t>
            </w:r>
          </w:p>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00" w:type="dxa"/>
            <w:vMerge w:val="restart"/>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其他</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结果</w:t>
            </w:r>
          </w:p>
        </w:tc>
        <w:tc>
          <w:tcPr>
            <w:tcW w:w="591" w:type="dxa"/>
            <w:vMerge w:val="restart"/>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尚未</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审结</w:t>
            </w:r>
          </w:p>
        </w:tc>
        <w:tc>
          <w:tcPr>
            <w:tcW w:w="461" w:type="dxa"/>
            <w:vMerge w:val="restart"/>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3010" w:type="dxa"/>
            <w:gridSpan w:val="5"/>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未经复议直接起诉</w:t>
            </w:r>
          </w:p>
        </w:tc>
        <w:tc>
          <w:tcPr>
            <w:tcW w:w="2912" w:type="dxa"/>
            <w:gridSpan w:val="5"/>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spacing w:line="340" w:lineRule="exact"/>
              <w:ind w:left="-42" w:leftChars="-20" w:right="-42" w:rightChars="-20"/>
              <w:rPr>
                <w:rFonts w:ascii="方正黑体简体" w:eastAsia="方正黑体简体"/>
                <w:sz w:val="21"/>
                <w:szCs w:val="21"/>
              </w:rPr>
            </w:pPr>
          </w:p>
        </w:tc>
        <w:tc>
          <w:tcPr>
            <w:tcW w:w="621" w:type="dxa"/>
            <w:vMerge w:val="continue"/>
            <w:tcMar>
              <w:left w:w="108" w:type="dxa"/>
              <w:right w:w="108" w:type="dxa"/>
            </w:tcMar>
            <w:vAlign w:val="center"/>
          </w:tcPr>
          <w:p>
            <w:pPr>
              <w:spacing w:line="340" w:lineRule="exact"/>
              <w:ind w:left="-42" w:leftChars="-20" w:right="-42" w:rightChars="-20"/>
              <w:rPr>
                <w:rFonts w:ascii="方正黑体简体" w:eastAsia="方正黑体简体"/>
                <w:sz w:val="21"/>
                <w:szCs w:val="21"/>
              </w:rPr>
            </w:pPr>
          </w:p>
        </w:tc>
        <w:tc>
          <w:tcPr>
            <w:tcW w:w="600" w:type="dxa"/>
            <w:vMerge w:val="continue"/>
            <w:tcMar>
              <w:left w:w="108" w:type="dxa"/>
              <w:right w:w="108" w:type="dxa"/>
            </w:tcMar>
            <w:vAlign w:val="center"/>
          </w:tcPr>
          <w:p>
            <w:pPr>
              <w:spacing w:line="340" w:lineRule="exact"/>
              <w:ind w:left="-42" w:leftChars="-20" w:right="-42" w:rightChars="-20"/>
              <w:rPr>
                <w:rFonts w:ascii="方正黑体简体" w:eastAsia="方正黑体简体"/>
                <w:sz w:val="21"/>
                <w:szCs w:val="21"/>
              </w:rPr>
            </w:pPr>
          </w:p>
        </w:tc>
        <w:tc>
          <w:tcPr>
            <w:tcW w:w="591" w:type="dxa"/>
            <w:vMerge w:val="continue"/>
            <w:tcMar>
              <w:left w:w="108" w:type="dxa"/>
              <w:right w:w="108" w:type="dxa"/>
            </w:tcMar>
            <w:vAlign w:val="center"/>
          </w:tcPr>
          <w:p>
            <w:pPr>
              <w:spacing w:line="340" w:lineRule="exact"/>
              <w:ind w:left="-42" w:leftChars="-20" w:right="-42" w:rightChars="-20"/>
              <w:rPr>
                <w:rFonts w:ascii="方正黑体简体" w:eastAsia="方正黑体简体"/>
                <w:sz w:val="21"/>
                <w:szCs w:val="21"/>
              </w:rPr>
            </w:pPr>
          </w:p>
        </w:tc>
        <w:tc>
          <w:tcPr>
            <w:tcW w:w="461" w:type="dxa"/>
            <w:vMerge w:val="continue"/>
            <w:tcMar>
              <w:left w:w="108" w:type="dxa"/>
              <w:right w:w="108" w:type="dxa"/>
            </w:tcMar>
            <w:vAlign w:val="center"/>
          </w:tcPr>
          <w:p>
            <w:pPr>
              <w:spacing w:line="340" w:lineRule="exact"/>
              <w:ind w:left="-42" w:leftChars="-20" w:right="-42" w:rightChars="-20"/>
              <w:rPr>
                <w:rFonts w:ascii="方正黑体简体" w:eastAsia="方正黑体简体"/>
                <w:sz w:val="21"/>
                <w:szCs w:val="21"/>
              </w:rPr>
            </w:pPr>
          </w:p>
        </w:tc>
        <w:tc>
          <w:tcPr>
            <w:tcW w:w="649"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维持</w:t>
            </w:r>
          </w:p>
        </w:tc>
        <w:tc>
          <w:tcPr>
            <w:tcW w:w="649"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纠正</w:t>
            </w:r>
          </w:p>
        </w:tc>
        <w:tc>
          <w:tcPr>
            <w:tcW w:w="650"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其他</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结果</w:t>
            </w:r>
          </w:p>
        </w:tc>
        <w:tc>
          <w:tcPr>
            <w:tcW w:w="636"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尚未</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审结</w:t>
            </w:r>
          </w:p>
        </w:tc>
        <w:tc>
          <w:tcPr>
            <w:tcW w:w="426"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650"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维持</w:t>
            </w:r>
          </w:p>
        </w:tc>
        <w:tc>
          <w:tcPr>
            <w:tcW w:w="650"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纠正</w:t>
            </w:r>
          </w:p>
        </w:tc>
        <w:tc>
          <w:tcPr>
            <w:tcW w:w="650"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其他</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结果</w:t>
            </w:r>
          </w:p>
        </w:tc>
        <w:tc>
          <w:tcPr>
            <w:tcW w:w="555"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尚未</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审结</w:t>
            </w:r>
          </w:p>
        </w:tc>
        <w:tc>
          <w:tcPr>
            <w:tcW w:w="407"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21" w:type="dxa"/>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00"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591" w:type="dxa"/>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461" w:type="dxa"/>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49"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49"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50"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36"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426"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50"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50" w:type="dxa"/>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50"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555"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407" w:type="dxa"/>
            <w:tcMar>
              <w:left w:w="108" w:type="dxa"/>
              <w:right w:w="108" w:type="dxa"/>
            </w:tcMar>
            <w:vAlign w:val="center"/>
          </w:tcPr>
          <w:p>
            <w:pPr>
              <w:spacing w:line="340" w:lineRule="exact"/>
              <w:ind w:left="-42" w:leftChars="-20" w:right="-42" w:rightChars="-20"/>
              <w:jc w:val="center"/>
              <w:rPr>
                <w:rFonts w:hint="eastAsia" w:ascii="方正黑体简体" w:eastAsia="方正黑体简体"/>
                <w:sz w:val="21"/>
                <w:szCs w:val="21"/>
                <w:lang w:val="en-US" w:eastAsia="zh-CN"/>
              </w:rPr>
            </w:pPr>
            <w:r>
              <w:rPr>
                <w:rFonts w:hint="eastAsia" w:ascii="方正黑体简体" w:eastAsia="方正黑体简体"/>
                <w:sz w:val="21"/>
                <w:szCs w:val="21"/>
                <w:lang w:val="en-US" w:eastAsia="zh-CN"/>
              </w:rPr>
              <w:t>0</w:t>
            </w:r>
          </w:p>
        </w:tc>
      </w:tr>
    </w:tbl>
    <w:p>
      <w:pPr>
        <w:spacing w:line="590" w:lineRule="exact"/>
        <w:ind w:right="-105" w:rightChars="-50" w:firstLine="643"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spacing w:line="590" w:lineRule="exact"/>
        <w:ind w:right="-105" w:rightChars="-50"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在2022年度的政府信息公开工作中，区财政分局根据政务公开的相关要求，对存在的一些问题进行了改进，主要有以下两个方面。</w:t>
      </w:r>
    </w:p>
    <w:p>
      <w:pPr>
        <w:spacing w:line="590" w:lineRule="exact"/>
        <w:ind w:right="-105" w:rightChars="-50"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一是公开的内容还不够全面和深入。根据省、市、区政府以及政务公开相关政策的要求，2022年，区财政分局逐步完善了公开的内容。完善了机构职能、政务公开目录、信息公开指南等基本信息的公开；规范了各部门财政预决算、政府采购内容的公开；明确了财政收支、政府债务、行政事业性收费目录以及国资国企等相关财政信息的公开。</w:t>
      </w:r>
    </w:p>
    <w:p>
      <w:pPr>
        <w:spacing w:line="590" w:lineRule="exact"/>
        <w:ind w:right="-105" w:rightChars="-50"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二是公开的目录和格式还不够充分和完善。根据上级及政务公开的要求，逐步调整、完善了公开的目录；对以往错误的公开格式和内容进行了修改，以新要求规范公开新内容，政务公开专员对每一项公开信息进行审查和完善。</w:t>
      </w:r>
    </w:p>
    <w:p>
      <w:pPr>
        <w:spacing w:line="590" w:lineRule="exact"/>
        <w:ind w:right="-105" w:rightChars="-50" w:firstLine="643"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spacing w:line="590" w:lineRule="exact"/>
        <w:ind w:right="-105" w:rightChars="-50"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（一）依据《政府信息公开信息处理费管理办法》收取信息处理费的情况</w:t>
      </w:r>
    </w:p>
    <w:p>
      <w:pPr>
        <w:spacing w:line="590" w:lineRule="exact"/>
        <w:ind w:right="-105" w:rightChars="-50"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我局本年不存在依据《政府信息公开信息处理费管理办法》收取信息处理费的情况。</w:t>
      </w:r>
    </w:p>
    <w:p>
      <w:pPr>
        <w:spacing w:line="590" w:lineRule="exact"/>
        <w:ind w:right="-105" w:rightChars="-50"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（二）落实上级年度政务公开工作要点情况</w:t>
      </w:r>
    </w:p>
    <w:p>
      <w:pPr>
        <w:spacing w:line="590" w:lineRule="exact"/>
        <w:ind w:right="-105" w:rightChars="-50"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围绕国务院、省、市、区政务公开工作要点，对照2022年济宁太白湖新区政务公开栏目权限划分，我局制定了主动公开基本目录，明确完成时限和责任科室，全面、规范、细致落实政务公开工作要点。截止2022年末，相关工作任务均已完成。</w:t>
      </w:r>
    </w:p>
    <w:p>
      <w:pPr>
        <w:spacing w:line="590" w:lineRule="exact"/>
        <w:ind w:right="-105" w:rightChars="-50"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（三）人大代表建议和政协提案办理结果公开情况</w:t>
      </w:r>
    </w:p>
    <w:p>
      <w:pPr>
        <w:spacing w:line="590" w:lineRule="exact"/>
        <w:ind w:right="-105" w:rightChars="-50"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2022年，区财政分局未受理人大代表建议和政协提案。</w:t>
      </w:r>
    </w:p>
    <w:p>
      <w:pPr>
        <w:spacing w:line="590" w:lineRule="exact"/>
        <w:ind w:right="-105" w:rightChars="-50"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（四）年度政务公开工作创新情况</w:t>
      </w:r>
    </w:p>
    <w:p>
      <w:pPr>
        <w:spacing w:line="590" w:lineRule="exact"/>
        <w:ind w:right="-105" w:rightChars="-50"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区财政分局根据工作实际，对本部门的政务公开上传、审核制度进行了优化，明确了财政预决算和政府采购的专门审核人员，同时满足了公开内容和公开格式的要求；确定了政务公开专员，通过对政务公开政策和要求的学习和培训，负责本部门所有公开内容的上传、初步审核和申请。</w:t>
      </w:r>
    </w:p>
    <w:p>
      <w:pPr>
        <w:numPr>
          <w:ilvl w:val="0"/>
          <w:numId w:val="0"/>
        </w:numPr>
        <w:spacing w:line="590" w:lineRule="exact"/>
        <w:ind w:right="-105" w:rightChars="-50" w:firstLine="643" w:firstLineChars="200"/>
        <w:rPr>
          <w:rFonts w:hint="eastAsia" w:ascii="方正仿宋简体" w:eastAsia="方正仿宋简体"/>
          <w:b/>
          <w:sz w:val="32"/>
          <w:szCs w:val="32"/>
        </w:rPr>
      </w:pPr>
      <w:r>
        <w:rPr>
          <w:rFonts w:hint="eastAsia" w:ascii="方正仿宋简体" w:eastAsia="方正仿宋简体"/>
          <w:b/>
          <w:sz w:val="32"/>
          <w:szCs w:val="32"/>
          <w:lang w:eastAsia="zh-CN"/>
        </w:rPr>
        <w:t>（五）</w:t>
      </w:r>
      <w:r>
        <w:rPr>
          <w:rFonts w:hint="eastAsia" w:ascii="方正仿宋简体" w:eastAsia="方正仿宋简体"/>
          <w:b/>
          <w:sz w:val="32"/>
          <w:szCs w:val="32"/>
        </w:rPr>
        <w:t>政府信息公开工作年度报告数据统计需要说明的事项</w:t>
      </w:r>
    </w:p>
    <w:p>
      <w:pPr>
        <w:numPr>
          <w:ilvl w:val="0"/>
          <w:numId w:val="0"/>
        </w:numPr>
        <w:spacing w:line="590" w:lineRule="exact"/>
        <w:ind w:right="-105" w:rightChars="-50" w:firstLine="643" w:firstLineChars="200"/>
        <w:rPr>
          <w:rFonts w:hint="eastAsia" w:ascii="方正仿宋简体" w:eastAsia="方正仿宋简体"/>
          <w:b/>
          <w:sz w:val="32"/>
          <w:szCs w:val="32"/>
          <w:lang w:eastAsia="zh-CN"/>
        </w:rPr>
      </w:pPr>
      <w:r>
        <w:rPr>
          <w:rFonts w:hint="eastAsia" w:ascii="方正仿宋简体" w:eastAsia="方正仿宋简体"/>
          <w:b/>
          <w:sz w:val="32"/>
          <w:szCs w:val="32"/>
          <w:lang w:eastAsia="zh-CN"/>
        </w:rPr>
        <w:t>无。</w:t>
      </w:r>
    </w:p>
    <w:p>
      <w:pPr>
        <w:spacing w:line="590" w:lineRule="exact"/>
        <w:ind w:right="-105" w:rightChars="-50" w:firstLine="643" w:firstLineChars="200"/>
        <w:rPr>
          <w:rFonts w:ascii="方正仿宋简体" w:eastAsia="方正仿宋简体"/>
          <w:b/>
          <w:sz w:val="32"/>
          <w:szCs w:val="32"/>
        </w:rPr>
      </w:pPr>
      <w:r>
        <w:rPr>
          <w:rFonts w:hint="eastAsia" w:ascii="方正仿宋简体" w:eastAsia="方正仿宋简体"/>
          <w:b/>
          <w:sz w:val="32"/>
          <w:szCs w:val="32"/>
        </w:rPr>
        <w:t>（六）</w:t>
      </w:r>
      <w:bookmarkStart w:id="0" w:name="_GoBack"/>
      <w:bookmarkEnd w:id="0"/>
      <w:r>
        <w:rPr>
          <w:rFonts w:hint="eastAsia" w:ascii="方正仿宋简体" w:eastAsia="方正仿宋简体"/>
          <w:b/>
          <w:sz w:val="32"/>
          <w:szCs w:val="32"/>
        </w:rPr>
        <w:t>认为需要报告的其他事项</w:t>
      </w:r>
    </w:p>
    <w:p>
      <w:pPr>
        <w:numPr>
          <w:ilvl w:val="0"/>
          <w:numId w:val="0"/>
        </w:numPr>
        <w:spacing w:line="590" w:lineRule="exact"/>
        <w:ind w:right="-105" w:rightChars="-50" w:firstLine="643" w:firstLineChars="200"/>
        <w:rPr>
          <w:rFonts w:hint="eastAsia" w:ascii="方正仿宋简体" w:eastAsia="方正仿宋简体"/>
          <w:b/>
          <w:sz w:val="32"/>
          <w:szCs w:val="32"/>
          <w:lang w:eastAsia="zh-CN"/>
        </w:rPr>
      </w:pPr>
      <w:r>
        <w:rPr>
          <w:rFonts w:hint="eastAsia" w:ascii="方正仿宋简体" w:eastAsia="方正仿宋简体"/>
          <w:b/>
          <w:sz w:val="32"/>
          <w:szCs w:val="32"/>
          <w:lang w:eastAsia="zh-CN"/>
        </w:rPr>
        <w:t>无。</w:t>
      </w:r>
    </w:p>
    <w:p>
      <w:pPr>
        <w:spacing w:line="590" w:lineRule="exact"/>
        <w:ind w:right="-105" w:rightChars="-50" w:firstLine="643" w:firstLineChars="200"/>
        <w:rPr>
          <w:rFonts w:ascii="方正仿宋简体" w:eastAsia="方正仿宋简体"/>
          <w:b/>
          <w:sz w:val="32"/>
          <w:szCs w:val="32"/>
        </w:rPr>
      </w:pPr>
      <w:r>
        <w:rPr>
          <w:rFonts w:hint="eastAsia" w:ascii="方正仿宋简体" w:eastAsia="方正仿宋简体"/>
          <w:b/>
          <w:sz w:val="32"/>
          <w:szCs w:val="32"/>
        </w:rPr>
        <w:t>（七）其他有关文件专门要求通过政府信息公开工作年度报告予以报告的事项</w:t>
      </w:r>
    </w:p>
    <w:p>
      <w:pPr>
        <w:spacing w:line="590" w:lineRule="exact"/>
        <w:ind w:right="-105" w:rightChars="-50" w:firstLine="643" w:firstLineChars="200"/>
        <w:rPr>
          <w:rFonts w:hint="eastAsia" w:ascii="方正仿宋简体" w:eastAsia="方正仿宋简体"/>
          <w:b/>
          <w:sz w:val="32"/>
          <w:szCs w:val="32"/>
          <w:lang w:eastAsia="zh-CN"/>
        </w:rPr>
      </w:pPr>
      <w:r>
        <w:rPr>
          <w:rFonts w:hint="eastAsia" w:ascii="方正仿宋简体" w:eastAsia="方正仿宋简体"/>
          <w:b/>
          <w:sz w:val="32"/>
          <w:szCs w:val="32"/>
          <w:lang w:eastAsia="zh-CN"/>
        </w:rPr>
        <w:t>无。</w:t>
      </w:r>
    </w:p>
    <w:p>
      <w:pPr>
        <w:pStyle w:val="2"/>
        <w:rPr>
          <w:rFonts w:hint="eastAsia"/>
          <w:lang w:eastAsia="zh-CN"/>
        </w:rPr>
      </w:pPr>
    </w:p>
    <w:p>
      <w:pPr>
        <w:rPr>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hNjAzYWJlOWNkODlmMzIzOWM5NGE0N2JhMjFmZmEifQ=="/>
  </w:docVars>
  <w:rsids>
    <w:rsidRoot w:val="11AF18C8"/>
    <w:rsid w:val="00347AB3"/>
    <w:rsid w:val="00B4462B"/>
    <w:rsid w:val="01761E20"/>
    <w:rsid w:val="0233386D"/>
    <w:rsid w:val="02467A44"/>
    <w:rsid w:val="028D5673"/>
    <w:rsid w:val="02DC2156"/>
    <w:rsid w:val="03D275DF"/>
    <w:rsid w:val="04183B22"/>
    <w:rsid w:val="049973F4"/>
    <w:rsid w:val="050210BD"/>
    <w:rsid w:val="050938AE"/>
    <w:rsid w:val="05A87C1B"/>
    <w:rsid w:val="061E65E2"/>
    <w:rsid w:val="06935222"/>
    <w:rsid w:val="0747121A"/>
    <w:rsid w:val="0895702F"/>
    <w:rsid w:val="09D73678"/>
    <w:rsid w:val="0ABC6AA6"/>
    <w:rsid w:val="0BA2769B"/>
    <w:rsid w:val="0C5823BF"/>
    <w:rsid w:val="0C8377CF"/>
    <w:rsid w:val="0D735559"/>
    <w:rsid w:val="0E7E40C2"/>
    <w:rsid w:val="0EE15907"/>
    <w:rsid w:val="0F353021"/>
    <w:rsid w:val="0F40470A"/>
    <w:rsid w:val="10790FE5"/>
    <w:rsid w:val="10973B61"/>
    <w:rsid w:val="11647C3B"/>
    <w:rsid w:val="11AF18C8"/>
    <w:rsid w:val="11DA02A7"/>
    <w:rsid w:val="122558D8"/>
    <w:rsid w:val="1293001F"/>
    <w:rsid w:val="129B1FD8"/>
    <w:rsid w:val="13C7650B"/>
    <w:rsid w:val="149A7179"/>
    <w:rsid w:val="15B074C6"/>
    <w:rsid w:val="160550C9"/>
    <w:rsid w:val="17877C80"/>
    <w:rsid w:val="17B4319A"/>
    <w:rsid w:val="19687E48"/>
    <w:rsid w:val="1A2C5E7B"/>
    <w:rsid w:val="1A6A77C7"/>
    <w:rsid w:val="1A9B09AA"/>
    <w:rsid w:val="1ABB08DC"/>
    <w:rsid w:val="1AEE471A"/>
    <w:rsid w:val="1BAF5522"/>
    <w:rsid w:val="1BF11775"/>
    <w:rsid w:val="1C00080C"/>
    <w:rsid w:val="1C2204C9"/>
    <w:rsid w:val="1D956891"/>
    <w:rsid w:val="1E471372"/>
    <w:rsid w:val="1E78017A"/>
    <w:rsid w:val="1EE95587"/>
    <w:rsid w:val="1FF222CF"/>
    <w:rsid w:val="1FF97A4C"/>
    <w:rsid w:val="21182EDF"/>
    <w:rsid w:val="22201DA0"/>
    <w:rsid w:val="2269173B"/>
    <w:rsid w:val="22A46395"/>
    <w:rsid w:val="22A76C6B"/>
    <w:rsid w:val="22DA65E3"/>
    <w:rsid w:val="23103A2A"/>
    <w:rsid w:val="238F5224"/>
    <w:rsid w:val="2393640A"/>
    <w:rsid w:val="23F21382"/>
    <w:rsid w:val="249D5BEA"/>
    <w:rsid w:val="24DD3FBC"/>
    <w:rsid w:val="24E95A1B"/>
    <w:rsid w:val="2530259D"/>
    <w:rsid w:val="25553977"/>
    <w:rsid w:val="264D61AA"/>
    <w:rsid w:val="27873B8F"/>
    <w:rsid w:val="28823125"/>
    <w:rsid w:val="29464DE1"/>
    <w:rsid w:val="299A7E41"/>
    <w:rsid w:val="29A34177"/>
    <w:rsid w:val="29DB5AC9"/>
    <w:rsid w:val="2A351D95"/>
    <w:rsid w:val="2B0D3E82"/>
    <w:rsid w:val="2B3C28F1"/>
    <w:rsid w:val="2D406CBA"/>
    <w:rsid w:val="2E020414"/>
    <w:rsid w:val="2EA74B17"/>
    <w:rsid w:val="2EDE57EA"/>
    <w:rsid w:val="2F0C1936"/>
    <w:rsid w:val="2FC97716"/>
    <w:rsid w:val="2FCB69F7"/>
    <w:rsid w:val="31B9528D"/>
    <w:rsid w:val="3235075B"/>
    <w:rsid w:val="329B71E5"/>
    <w:rsid w:val="33042538"/>
    <w:rsid w:val="34294503"/>
    <w:rsid w:val="342B1D46"/>
    <w:rsid w:val="3598340C"/>
    <w:rsid w:val="366E242B"/>
    <w:rsid w:val="37BF7375"/>
    <w:rsid w:val="37E36DE5"/>
    <w:rsid w:val="38F117B0"/>
    <w:rsid w:val="39261640"/>
    <w:rsid w:val="3AD74FE5"/>
    <w:rsid w:val="3B5E3171"/>
    <w:rsid w:val="3B67443F"/>
    <w:rsid w:val="3B893F22"/>
    <w:rsid w:val="3BD7516D"/>
    <w:rsid w:val="3BD8163B"/>
    <w:rsid w:val="3CA37266"/>
    <w:rsid w:val="3D9425AC"/>
    <w:rsid w:val="3E3F114A"/>
    <w:rsid w:val="3EE85370"/>
    <w:rsid w:val="3F9D584C"/>
    <w:rsid w:val="417D1C9F"/>
    <w:rsid w:val="41E420A6"/>
    <w:rsid w:val="437B0BF7"/>
    <w:rsid w:val="4426205D"/>
    <w:rsid w:val="44A26055"/>
    <w:rsid w:val="44D90BDC"/>
    <w:rsid w:val="45663FFB"/>
    <w:rsid w:val="47FE0839"/>
    <w:rsid w:val="49056EAA"/>
    <w:rsid w:val="49496297"/>
    <w:rsid w:val="497D0540"/>
    <w:rsid w:val="4B306D18"/>
    <w:rsid w:val="4B453A4D"/>
    <w:rsid w:val="4B8509C1"/>
    <w:rsid w:val="4BA86026"/>
    <w:rsid w:val="4CA706AC"/>
    <w:rsid w:val="4CB30603"/>
    <w:rsid w:val="4D8C6425"/>
    <w:rsid w:val="4F3209A3"/>
    <w:rsid w:val="509104CE"/>
    <w:rsid w:val="50E7551B"/>
    <w:rsid w:val="5128100B"/>
    <w:rsid w:val="5181771E"/>
    <w:rsid w:val="52100AA2"/>
    <w:rsid w:val="52462715"/>
    <w:rsid w:val="52C04276"/>
    <w:rsid w:val="53A95833"/>
    <w:rsid w:val="54D45988"/>
    <w:rsid w:val="568B6925"/>
    <w:rsid w:val="571504CC"/>
    <w:rsid w:val="572A4BF6"/>
    <w:rsid w:val="57E63A41"/>
    <w:rsid w:val="58DE6577"/>
    <w:rsid w:val="5A947F47"/>
    <w:rsid w:val="5A985A61"/>
    <w:rsid w:val="5BBC7778"/>
    <w:rsid w:val="5C172F7A"/>
    <w:rsid w:val="5C2B081A"/>
    <w:rsid w:val="5D1963D4"/>
    <w:rsid w:val="5D7C49E0"/>
    <w:rsid w:val="5F572382"/>
    <w:rsid w:val="5F8F0097"/>
    <w:rsid w:val="624B3430"/>
    <w:rsid w:val="632329D3"/>
    <w:rsid w:val="6360147B"/>
    <w:rsid w:val="66B21A4C"/>
    <w:rsid w:val="6757721E"/>
    <w:rsid w:val="6846638D"/>
    <w:rsid w:val="6B4F5D3F"/>
    <w:rsid w:val="6BC02799"/>
    <w:rsid w:val="6FA216FF"/>
    <w:rsid w:val="703A3B85"/>
    <w:rsid w:val="70CD3B44"/>
    <w:rsid w:val="7147149E"/>
    <w:rsid w:val="71C811A0"/>
    <w:rsid w:val="71EB57CE"/>
    <w:rsid w:val="71FB452B"/>
    <w:rsid w:val="721426E2"/>
    <w:rsid w:val="727568C2"/>
    <w:rsid w:val="728037B2"/>
    <w:rsid w:val="730E16C7"/>
    <w:rsid w:val="73165394"/>
    <w:rsid w:val="732366A0"/>
    <w:rsid w:val="73A6496A"/>
    <w:rsid w:val="74C06305"/>
    <w:rsid w:val="756F4DCB"/>
    <w:rsid w:val="76277FE4"/>
    <w:rsid w:val="76D72C58"/>
    <w:rsid w:val="77181135"/>
    <w:rsid w:val="773B4CD6"/>
    <w:rsid w:val="78250553"/>
    <w:rsid w:val="78461E4F"/>
    <w:rsid w:val="794F557A"/>
    <w:rsid w:val="7A1C454D"/>
    <w:rsid w:val="7B0F4F38"/>
    <w:rsid w:val="7C6333F8"/>
    <w:rsid w:val="7D225061"/>
    <w:rsid w:val="7DBE6779"/>
    <w:rsid w:val="7E161C9F"/>
    <w:rsid w:val="7E725E35"/>
    <w:rsid w:val="7F9A2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cap="all" baseline="0">
                <a:solidFill>
                  <a:schemeClr val="tx1">
                    <a:lumMod val="65000"/>
                    <a:lumOff val="35000"/>
                  </a:schemeClr>
                </a:solidFill>
                <a:latin typeface="+mn-lt"/>
                <a:ea typeface="+mn-ea"/>
                <a:cs typeface="+mn-cs"/>
              </a:defRPr>
            </a:pPr>
            <a:r>
              <a:t>主动公开信息</a:t>
            </a:r>
          </a:p>
        </c:rich>
      </c:tx>
      <c:layout/>
      <c:overlay val="0"/>
      <c:spPr>
        <a:noFill/>
        <a:ln>
          <a:noFill/>
        </a:ln>
        <a:effectLst/>
      </c:spPr>
    </c:title>
    <c:autoTitleDeleted val="0"/>
    <c:plotArea>
      <c:layout>
        <c:manualLayout>
          <c:layoutTarget val="inner"/>
          <c:xMode val="edge"/>
          <c:yMode val="edge"/>
          <c:x val="0.289783119937288"/>
          <c:y val="0.180154355016538"/>
          <c:w val="0.444473477920042"/>
          <c:h val="0.750165380374862"/>
        </c:manualLayout>
      </c:layout>
      <c:pieChart>
        <c:varyColors val="1"/>
        <c:ser>
          <c:idx val="0"/>
          <c:order val="0"/>
          <c:tx>
            <c:strRef>
              <c:f>Sheet1!$B$1</c:f>
              <c:strCache>
                <c:ptCount val="1"/>
                <c:pt idx="0">
                  <c:v>系列 1</c:v>
                </c:pt>
              </c:strCache>
            </c:strRef>
          </c:tx>
          <c:spPr/>
          <c:explosion val="0"/>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Pt>
            <c:idx val="2"/>
            <c:bubble3D val="0"/>
            <c:spPr>
              <a:solidFill>
                <a:schemeClr val="accent3"/>
              </a:solidFill>
              <a:ln>
                <a:noFill/>
              </a:ln>
              <a:effectLst>
                <a:outerShdw blurRad="63500" sx="102000" sy="102000" algn="ctr" rotWithShape="0">
                  <a:prstClr val="black">
                    <a:alpha val="20000"/>
                  </a:prstClr>
                </a:outerShdw>
              </a:effectLst>
            </c:spPr>
          </c:dPt>
          <c:dPt>
            <c:idx val="3"/>
            <c:bubble3D val="0"/>
            <c:spPr>
              <a:solidFill>
                <a:schemeClr val="accent4"/>
              </a:solidFill>
              <a:ln>
                <a:noFill/>
              </a:ln>
              <a:effectLst>
                <a:outerShdw blurRad="63500" sx="102000" sy="102000" algn="ctr" rotWithShape="0">
                  <a:prstClr val="black">
                    <a:alpha val="20000"/>
                  </a:prstClr>
                </a:outerShdw>
              </a:effectLst>
            </c:spPr>
          </c:dPt>
          <c:dPt>
            <c:idx val="4"/>
            <c:bubble3D val="0"/>
            <c:spPr>
              <a:solidFill>
                <a:schemeClr val="accent5"/>
              </a:solidFill>
              <a:ln>
                <a:noFill/>
              </a:ln>
              <a:effectLst>
                <a:outerShdw blurRad="63500" sx="102000" sy="102000" algn="ctr" rotWithShape="0">
                  <a:prstClr val="black">
                    <a:alpha val="20000"/>
                  </a:prstClr>
                </a:outerShdw>
              </a:effectLst>
            </c:spPr>
          </c:dPt>
          <c:dPt>
            <c:idx val="5"/>
            <c:bubble3D val="0"/>
            <c:spPr>
              <a:solidFill>
                <a:schemeClr val="accent6"/>
              </a:solidFill>
              <a:ln>
                <a:noFill/>
              </a:ln>
              <a:effectLst>
                <a:outerShdw blurRad="63500" sx="102000" sy="102000" algn="ctr" rotWithShape="0">
                  <a:prstClr val="black">
                    <a:alpha val="20000"/>
                  </a:prstClr>
                </a:outerShdw>
              </a:effectLst>
            </c:spPr>
          </c:dPt>
          <c:dPt>
            <c:idx val="6"/>
            <c:bubble3D val="0"/>
            <c:spPr>
              <a:solidFill>
                <a:schemeClr val="accent1">
                  <a:lumMod val="60000"/>
                </a:schemeClr>
              </a:solidFill>
              <a:ln>
                <a:noFill/>
              </a:ln>
              <a:effectLst>
                <a:outerShdw blurRad="63500" sx="102000" sy="102000" algn="ctr" rotWithShape="0">
                  <a:prstClr val="black">
                    <a:alpha val="20000"/>
                  </a:prstClr>
                </a:outerShdw>
              </a:effectLst>
            </c:spPr>
          </c:dPt>
          <c:dPt>
            <c:idx val="7"/>
            <c:bubble3D val="0"/>
            <c:spPr>
              <a:solidFill>
                <a:schemeClr val="accent2">
                  <a:lumMod val="60000"/>
                </a:schemeClr>
              </a:solidFill>
              <a:ln>
                <a:noFill/>
              </a:ln>
              <a:effectLst>
                <a:outerShdw blurRad="63500" sx="102000" sy="102000" algn="ctr" rotWithShape="0">
                  <a:prstClr val="black">
                    <a:alpha val="20000"/>
                  </a:prstClr>
                </a:outerShdw>
              </a:effectLst>
            </c:spPr>
          </c:dPt>
          <c:dPt>
            <c:idx val="8"/>
            <c:bubble3D val="0"/>
            <c:spPr>
              <a:solidFill>
                <a:schemeClr val="accent3">
                  <a:lumMod val="60000"/>
                </a:schemeClr>
              </a:solidFill>
              <a:ln>
                <a:noFill/>
              </a:ln>
              <a:effectLst>
                <a:outerShdw blurRad="635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1"/>
                        </a:solidFill>
                        <a:latin typeface="+mn-lt"/>
                        <a:ea typeface="+mn-ea"/>
                        <a:cs typeface="+mn-cs"/>
                      </a:defRPr>
                    </a:pPr>
                    <a:r>
                      <a:t>财政预决算</a:t>
                    </a:r>
                  </a:p>
                  <a:p>
                    <a:pPr defTabSz="914400">
                      <a:defRPr lang="zh-CN" sz="1000" b="1" i="0" u="none" strike="noStrike" kern="1200" spc="0" baseline="0">
                        <a:solidFill>
                          <a:schemeClr val="accent1"/>
                        </a:solidFill>
                        <a:latin typeface="+mn-lt"/>
                        <a:ea typeface="+mn-ea"/>
                        <a:cs typeface="+mn-cs"/>
                      </a:defRPr>
                    </a:pPr>
                    <a:r>
                      <a:rPr lang="en-US" altLang="zh-CN"/>
                      <a:t>9</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5"/>
                        </a:solidFill>
                        <a:latin typeface="+mn-lt"/>
                        <a:ea typeface="+mn-ea"/>
                        <a:cs typeface="+mn-cs"/>
                      </a:defRPr>
                    </a:pPr>
                    <a:r>
                      <a:t>政府采购</a:t>
                    </a:r>
                  </a:p>
                  <a:p>
                    <a:pPr defTabSz="914400">
                      <a:defRPr lang="zh-CN" sz="1000" b="1" i="0" u="none" strike="noStrike" kern="1200" spc="0" baseline="0">
                        <a:solidFill>
                          <a:schemeClr val="accent5"/>
                        </a:solidFill>
                        <a:latin typeface="+mn-lt"/>
                        <a:ea typeface="+mn-ea"/>
                        <a:cs typeface="+mn-cs"/>
                      </a:defRPr>
                    </a:pPr>
                    <a:r>
                      <a:rPr lang="en-US" altLang="zh-CN"/>
                      <a:t>11</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5"/>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5"/>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6"/>
                        </a:solidFill>
                        <a:latin typeface="+mn-lt"/>
                        <a:ea typeface="+mn-ea"/>
                        <a:cs typeface="+mn-cs"/>
                      </a:defRPr>
                    </a:pPr>
                    <a:r>
                      <a:t>国资国企1</a:t>
                    </a:r>
                    <a:r>
                      <a:rPr lang="en-US" altLang="zh-CN"/>
                      <a:t>6</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6"/>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lumMod val="60000"/>
                        </a:schemeClr>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lumMod val="60000"/>
                        </a:schemeClr>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lumMod val="60000"/>
                        </a:schemeClr>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Sheet1!$A$2:$A$10</c:f>
              <c:strCache>
                <c:ptCount val="9"/>
                <c:pt idx="0">
                  <c:v>财政预决算</c:v>
                </c:pt>
                <c:pt idx="1">
                  <c:v>财政收支信息</c:v>
                </c:pt>
                <c:pt idx="2">
                  <c:v>政府债务</c:v>
                </c:pt>
                <c:pt idx="3">
                  <c:v>价格与收费</c:v>
                </c:pt>
                <c:pt idx="4">
                  <c:v>政府采购</c:v>
                </c:pt>
                <c:pt idx="5">
                  <c:v>国资国企</c:v>
                </c:pt>
                <c:pt idx="6">
                  <c:v>政策解读</c:v>
                </c:pt>
                <c:pt idx="7">
                  <c:v>政务公开信息</c:v>
                </c:pt>
                <c:pt idx="8">
                  <c:v>绩效管理信息</c:v>
                </c:pt>
              </c:strCache>
            </c:strRef>
          </c:cat>
          <c:val>
            <c:numRef>
              <c:f>Sheet1!$B$2:$B$10</c:f>
              <c:numCache>
                <c:formatCode>General</c:formatCode>
                <c:ptCount val="9"/>
                <c:pt idx="0">
                  <c:v>0.09375</c:v>
                </c:pt>
                <c:pt idx="1">
                  <c:v>0.1875</c:v>
                </c:pt>
                <c:pt idx="2">
                  <c:v>0.0625</c:v>
                </c:pt>
                <c:pt idx="3">
                  <c:v>0.109375</c:v>
                </c:pt>
                <c:pt idx="4">
                  <c:v>0.109375</c:v>
                </c:pt>
                <c:pt idx="5">
                  <c:v>0.15625</c:v>
                </c:pt>
                <c:pt idx="6">
                  <c:v>0.03125</c:v>
                </c:pt>
                <c:pt idx="7">
                  <c:v>0.0625</c:v>
                </c:pt>
                <c:pt idx="8">
                  <c:v>0.1875</c:v>
                </c:pt>
              </c:numCache>
            </c:numRef>
          </c:val>
        </c:ser>
        <c:ser>
          <c:idx val="1"/>
          <c:order val="1"/>
          <c:tx>
            <c:strRef>
              <c:f>Sheet1!$C$1</c:f>
              <c:strCache>
                <c:ptCount val="1"/>
                <c:pt idx="0">
                  <c:v>系列 2</c:v>
                </c:pt>
              </c:strCache>
            </c:strRef>
          </c:tx>
          <c:spPr/>
          <c:explosion val="0"/>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Pt>
            <c:idx val="2"/>
            <c:bubble3D val="0"/>
            <c:spPr>
              <a:solidFill>
                <a:schemeClr val="accent3"/>
              </a:solidFill>
              <a:ln>
                <a:noFill/>
              </a:ln>
              <a:effectLst>
                <a:outerShdw blurRad="63500" sx="102000" sy="102000" algn="ctr" rotWithShape="0">
                  <a:prstClr val="black">
                    <a:alpha val="20000"/>
                  </a:prstClr>
                </a:outerShdw>
              </a:effectLst>
            </c:spPr>
          </c:dPt>
          <c:dPt>
            <c:idx val="3"/>
            <c:bubble3D val="0"/>
            <c:spPr>
              <a:solidFill>
                <a:schemeClr val="accent4"/>
              </a:solidFill>
              <a:ln>
                <a:noFill/>
              </a:ln>
              <a:effectLst>
                <a:outerShdw blurRad="63500" sx="102000" sy="102000" algn="ctr" rotWithShape="0">
                  <a:prstClr val="black">
                    <a:alpha val="20000"/>
                  </a:prstClr>
                </a:outerShdw>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Sheet1!$A$2:$A$10</c:f>
              <c:strCache>
                <c:ptCount val="9"/>
                <c:pt idx="0">
                  <c:v>财政预决算</c:v>
                </c:pt>
                <c:pt idx="1">
                  <c:v>财政收支信息</c:v>
                </c:pt>
                <c:pt idx="2">
                  <c:v>政府债务</c:v>
                </c:pt>
                <c:pt idx="3">
                  <c:v>价格与收费</c:v>
                </c:pt>
                <c:pt idx="4">
                  <c:v>政府采购</c:v>
                </c:pt>
                <c:pt idx="5">
                  <c:v>国资国企</c:v>
                </c:pt>
                <c:pt idx="6">
                  <c:v>政策解读</c:v>
                </c:pt>
                <c:pt idx="7">
                  <c:v>政务公开信息</c:v>
                </c:pt>
                <c:pt idx="8">
                  <c:v>绩效管理信息</c:v>
                </c:pt>
              </c:strCache>
            </c:strRef>
          </c:cat>
          <c:val>
            <c:numRef>
              <c:f>Sheet1!$C$2:$C$5</c:f>
              <c:numCache>
                <c:formatCode>General</c:formatCode>
                <c:ptCount val="4"/>
                <c:pt idx="0">
                  <c:v>2.4</c:v>
                </c:pt>
                <c:pt idx="1">
                  <c:v>4.4</c:v>
                </c:pt>
                <c:pt idx="2">
                  <c:v>1.8</c:v>
                </c:pt>
                <c:pt idx="3">
                  <c:v>2.8</c:v>
                </c:pt>
              </c:numCache>
            </c:numRef>
          </c:val>
        </c:ser>
        <c:ser>
          <c:idx val="2"/>
          <c:order val="2"/>
          <c:tx>
            <c:strRef>
              <c:f>Sheet1!$D$1</c:f>
              <c:strCache>
                <c:ptCount val="1"/>
                <c:pt idx="0">
                  <c:v>系列 3</c:v>
                </c:pt>
              </c:strCache>
            </c:strRef>
          </c:tx>
          <c:spPr/>
          <c:explosion val="0"/>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Pt>
            <c:idx val="2"/>
            <c:bubble3D val="0"/>
            <c:spPr>
              <a:solidFill>
                <a:schemeClr val="accent3"/>
              </a:solidFill>
              <a:ln>
                <a:noFill/>
              </a:ln>
              <a:effectLst>
                <a:outerShdw blurRad="63500" sx="102000" sy="102000" algn="ctr" rotWithShape="0">
                  <a:prstClr val="black">
                    <a:alpha val="20000"/>
                  </a:prstClr>
                </a:outerShdw>
              </a:effectLst>
            </c:spPr>
          </c:dPt>
          <c:dPt>
            <c:idx val="3"/>
            <c:bubble3D val="0"/>
            <c:spPr>
              <a:solidFill>
                <a:schemeClr val="accent4"/>
              </a:solidFill>
              <a:ln>
                <a:noFill/>
              </a:ln>
              <a:effectLst>
                <a:outerShdw blurRad="63500" sx="102000" sy="102000" algn="ctr" rotWithShape="0">
                  <a:prstClr val="black">
                    <a:alpha val="20000"/>
                  </a:prstClr>
                </a:outerShdw>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outEnd"/>
            <c:showLegendKey val="0"/>
            <c:showVal val="0"/>
            <c:showCatName val="1"/>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Sheet1!$A$2:$A$10</c:f>
              <c:strCache>
                <c:ptCount val="9"/>
                <c:pt idx="0">
                  <c:v>财政预决算</c:v>
                </c:pt>
                <c:pt idx="1">
                  <c:v>财政收支信息</c:v>
                </c:pt>
                <c:pt idx="2">
                  <c:v>政府债务</c:v>
                </c:pt>
                <c:pt idx="3">
                  <c:v>价格与收费</c:v>
                </c:pt>
                <c:pt idx="4">
                  <c:v>政府采购</c:v>
                </c:pt>
                <c:pt idx="5">
                  <c:v>国资国企</c:v>
                </c:pt>
                <c:pt idx="6">
                  <c:v>政策解读</c:v>
                </c:pt>
                <c:pt idx="7">
                  <c:v>政务公开信息</c:v>
                </c:pt>
                <c:pt idx="8">
                  <c:v>绩效管理信息</c:v>
                </c:pt>
              </c:strCache>
            </c:strRef>
          </c:cat>
          <c:val>
            <c:numRef>
              <c:f>Sheet1!$D$2:$D$5</c:f>
              <c:numCache>
                <c:formatCode>General</c:formatCode>
                <c:ptCount val="4"/>
                <c:pt idx="0">
                  <c:v>2</c:v>
                </c:pt>
                <c:pt idx="1">
                  <c:v>2</c:v>
                </c:pt>
                <c:pt idx="2">
                  <c:v>3</c:v>
                </c:pt>
                <c:pt idx="3">
                  <c:v>5</c:v>
                </c:pt>
              </c:numCache>
            </c:numRef>
          </c:val>
        </c:ser>
        <c:ser>
          <c:idx val="3"/>
          <c:order val="3"/>
          <c:tx>
            <c:strRef>
              <c:f>Sheet1!$B$2:$B$8</c:f>
              <c:strCache>
                <c:ptCount val="1"/>
                <c:pt idx="0">
                  <c:v>0.09375 0.1875 0.0625 0.109375 0.109375 0.15625 0.03125</c:v>
                </c:pt>
              </c:strCache>
            </c:strRef>
          </c:tx>
          <c:spPr/>
          <c:explosion val="0"/>
          <c:dPt>
            <c:idx val="0"/>
            <c:bubble3D val="0"/>
            <c:spPr>
              <a:solidFill>
                <a:schemeClr val="accent1"/>
              </a:solidFill>
              <a:ln>
                <a:noFill/>
              </a:ln>
              <a:effectLst>
                <a:outerShdw blurRad="63500" sx="102000" sy="102000" algn="ctr" rotWithShape="0">
                  <a:prstClr val="black">
                    <a:alpha val="20000"/>
                  </a:prstClr>
                </a:outerShdw>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outEnd"/>
            <c:showLegendKey val="0"/>
            <c:showVal val="1"/>
            <c:showCatName val="1"/>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Sheet1!$A$2:$A$10</c:f>
              <c:strCache>
                <c:ptCount val="9"/>
                <c:pt idx="0">
                  <c:v>财政预决算</c:v>
                </c:pt>
                <c:pt idx="1">
                  <c:v>财政收支信息</c:v>
                </c:pt>
                <c:pt idx="2">
                  <c:v>政府债务</c:v>
                </c:pt>
                <c:pt idx="3">
                  <c:v>价格与收费</c:v>
                </c:pt>
                <c:pt idx="4">
                  <c:v>政府采购</c:v>
                </c:pt>
                <c:pt idx="5">
                  <c:v>国资国企</c:v>
                </c:pt>
                <c:pt idx="6">
                  <c:v>政策解读</c:v>
                </c:pt>
                <c:pt idx="7">
                  <c:v>政务公开信息</c:v>
                </c:pt>
                <c:pt idx="8">
                  <c:v>绩效管理信息</c:v>
                </c:pt>
              </c:strCache>
            </c:strRef>
          </c:cat>
          <c:val>
            <c:numRef>
              <c:f>{1}</c:f>
              <c:numCache>
                <c:formatCode>General</c:formatCode>
                <c:ptCount val="1"/>
                <c:pt idx="0">
                  <c:v>1</c:v>
                </c:pt>
              </c:numCache>
            </c:numRef>
          </c:val>
        </c:ser>
        <c:dLbls>
          <c:showLegendKey val="0"/>
          <c:showVal val="1"/>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2941</Words>
  <Characters>3048</Characters>
  <Lines>0</Lines>
  <Paragraphs>0</Paragraphs>
  <TotalTime>16</TotalTime>
  <ScaleCrop>false</ScaleCrop>
  <LinksUpToDate>false</LinksUpToDate>
  <CharactersWithSpaces>3048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2023-01-16T07:45:00Z</dcterms:created>
  <dc:creator>诗人与熊</dc:creator>
  <cp:lastModifiedBy>Administrator</cp:lastModifiedBy>
  <cp:lastPrinted>2023-01-19T06:32:00Z</cp:lastPrinted>
  <dcterms:modified xsi:type="dcterms:W3CDTF">2023-02-03T09:17:23Z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B0507E4F4F2D475C8D74A5D7520D43BC</vt:lpwstr>
  </property>
</Properties>
</file>