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eastAsia="方正小标宋简体"/>
          <w:b/>
          <w:color w:val="000000"/>
          <w:sz w:val="44"/>
          <w:szCs w:val="44"/>
          <w:lang w:val="en-US" w:eastAsia="zh-CN"/>
        </w:rPr>
      </w:pPr>
    </w:p>
    <w:p>
      <w:pPr>
        <w:spacing w:line="590" w:lineRule="exact"/>
        <w:ind w:right="-100" w:rightChars="-50"/>
        <w:jc w:val="center"/>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济宁北湖省级旅游度假区农业服务中心</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本报告由济宁北湖省级旅游度假区农业服务中心按照《中华人民共和国政府信息公开条例》（以下简称《条例》）和《中华人民共和国政府信息公开工作年度报告格式》（国办公开办函〔2021〕30号）要求编制。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本报告所列数据的统计期限自2022年1月1日起至2022年12月31日止。本报告电子版可在“中国·济宁”政府门户网站（http://bhdjq.jining.gov.cn/）查阅或下载。如对本报告有疑问，请与济宁北湖省级旅游度假区农业服务中心联系（地址：太白湖新区新城发展大厦A座1220，联系电话：0537-3237258）。</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lang w:val="en-US" w:eastAsia="zh-CN"/>
        </w:rPr>
      </w:pPr>
      <w:r>
        <w:rPr>
          <w:rFonts w:hint="eastAsia" w:ascii="方正黑体简体" w:eastAsia="方正黑体简体"/>
          <w:b/>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方正仿宋简体" w:hAnsi="Times New Roman" w:eastAsia="方正仿宋简体" w:cs="Times New Roman"/>
          <w:b/>
          <w:color w:val="000000"/>
          <w:sz w:val="32"/>
          <w:szCs w:val="32"/>
          <w:lang w:val="en-US" w:eastAsia="zh-CN" w:bidi="ar-SA"/>
        </w:rPr>
        <w:t>今年以来，</w:t>
      </w:r>
      <w:r>
        <w:rPr>
          <w:rFonts w:hint="eastAsia" w:ascii="方正仿宋简体" w:eastAsia="方正仿宋简体" w:cs="Times New Roman"/>
          <w:b/>
          <w:color w:val="000000"/>
          <w:sz w:val="32"/>
          <w:szCs w:val="32"/>
          <w:lang w:val="en-US" w:eastAsia="zh-CN" w:bidi="ar-SA"/>
        </w:rPr>
        <w:t>我</w:t>
      </w:r>
      <w:r>
        <w:rPr>
          <w:rFonts w:hint="eastAsia" w:ascii="方正仿宋简体" w:hAnsi="Times New Roman" w:eastAsia="方正仿宋简体" w:cs="Times New Roman"/>
          <w:b/>
          <w:color w:val="000000"/>
          <w:sz w:val="32"/>
          <w:szCs w:val="32"/>
          <w:lang w:val="en-US" w:eastAsia="zh-CN" w:bidi="ar-SA"/>
        </w:rPr>
        <w:t>中心高度重视政府信息公开工作</w:t>
      </w:r>
      <w:r>
        <w:rPr>
          <w:rFonts w:hint="eastAsia" w:ascii="方正仿宋简体" w:eastAsia="方正仿宋简体" w:cs="Times New Roman"/>
          <w:b/>
          <w:color w:val="000000"/>
          <w:sz w:val="32"/>
          <w:szCs w:val="32"/>
          <w:lang w:val="en-US" w:eastAsia="zh-CN" w:bidi="ar-SA"/>
        </w:rPr>
        <w:t>，深入贯彻落实《中华人民共和国政府信息公开条例》</w:t>
      </w:r>
      <w:r>
        <w:rPr>
          <w:rFonts w:hint="eastAsia" w:ascii="仿宋_GB2312" w:hAnsi="仿宋_GB2312" w:eastAsia="仿宋_GB2312" w:cs="仿宋_GB2312"/>
          <w:b/>
          <w:bCs/>
          <w:sz w:val="32"/>
          <w:szCs w:val="32"/>
        </w:rPr>
        <w:t>，完善各项公开制度和工作机制，不断扩大公开范围，细化公开内容，及时准确公开信息，</w:t>
      </w:r>
      <w:r>
        <w:rPr>
          <w:rFonts w:hint="eastAsia" w:ascii="仿宋_GB2312" w:hAnsi="仿宋_GB2312" w:eastAsia="仿宋_GB2312" w:cs="仿宋_GB2312"/>
          <w:b/>
          <w:bCs/>
          <w:sz w:val="32"/>
          <w:szCs w:val="32"/>
          <w:lang w:val="en-US" w:eastAsia="zh-CN"/>
        </w:rPr>
        <w:t>做到</w:t>
      </w:r>
      <w:r>
        <w:rPr>
          <w:rFonts w:hint="eastAsia" w:ascii="仿宋_GB2312" w:hAnsi="仿宋_GB2312" w:eastAsia="仿宋_GB2312" w:cs="仿宋_GB2312"/>
          <w:b/>
          <w:bCs/>
          <w:sz w:val="32"/>
          <w:szCs w:val="32"/>
        </w:rPr>
        <w:t>依法、全面、准确、及时公开。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我中心在太白湖新区管委会网站主动公开信息共</w:t>
      </w:r>
      <w:r>
        <w:rPr>
          <w:rFonts w:hint="eastAsia" w:ascii="方正仿宋简体" w:eastAsia="方正仿宋简体" w:cs="Times New Roman"/>
          <w:b/>
          <w:color w:val="000000"/>
          <w:sz w:val="32"/>
          <w:szCs w:val="32"/>
          <w:lang w:val="en-US" w:eastAsia="zh-CN" w:bidi="ar-SA"/>
        </w:rPr>
        <w:t>36</w:t>
      </w:r>
      <w:r>
        <w:rPr>
          <w:rFonts w:hint="eastAsia" w:ascii="方正仿宋简体" w:hAnsi="Times New Roman" w:eastAsia="方正仿宋简体" w:cs="Times New Roman"/>
          <w:b/>
          <w:color w:val="000000"/>
          <w:sz w:val="32"/>
          <w:szCs w:val="32"/>
          <w:lang w:val="en-US" w:eastAsia="zh-CN" w:bidi="ar-SA"/>
        </w:rPr>
        <w:t>条，</w:t>
      </w:r>
      <w:r>
        <w:rPr>
          <w:rFonts w:hint="eastAsia" w:ascii="方正仿宋简体" w:eastAsia="方正仿宋简体" w:cs="Times New Roman"/>
          <w:b/>
          <w:color w:val="000000"/>
          <w:sz w:val="32"/>
          <w:szCs w:val="32"/>
          <w:lang w:val="en-US" w:eastAsia="zh-CN" w:bidi="ar-SA"/>
        </w:rPr>
        <w:t>其中财政预决算4条，政策解读3条，“双随机、一公开”监管3条，涉农补贴17条，其他信息9条。</w:t>
      </w:r>
    </w:p>
    <w:p>
      <w:pPr>
        <w:pStyle w:val="2"/>
        <w:jc w:val="both"/>
        <w:rPr>
          <w:rFonts w:hint="default"/>
          <w:lang w:val="en-US" w:eastAsia="zh-CN"/>
        </w:rPr>
      </w:pPr>
    </w:p>
    <w:p>
      <w:pPr>
        <w:pStyle w:val="2"/>
        <w:jc w:val="center"/>
        <w:rPr>
          <w:rFonts w:hint="default"/>
          <w:lang w:val="en-US"/>
        </w:rPr>
      </w:pPr>
      <w:r>
        <w:rPr>
          <w:rFonts w:hint="default"/>
          <w:lang w:val="en-US" w:eastAsia="zh-CN"/>
        </w:rPr>
        <w:drawing>
          <wp:inline distT="0" distB="0" distL="114300" distR="114300">
            <wp:extent cx="5080000" cy="3810000"/>
            <wp:effectExtent l="4445" t="4445" r="20955" b="52705"/>
            <wp:docPr id="8" name="图表 8" descr="7b0a202020202263686172745265734964223a2022323034373039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方正仿宋简体" w:hAnsi="Times New Roman" w:eastAsia="方正仿宋简体" w:cs="Times New Roman"/>
          <w:b/>
          <w:color w:val="000000"/>
          <w:sz w:val="32"/>
          <w:szCs w:val="32"/>
          <w:lang w:val="en-US" w:eastAsia="zh-CN" w:bidi="ar-SA"/>
        </w:rPr>
        <w:t>2022年，我中心未收到政府信息公开申请。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（三）政府信息管理情况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严格落实政务公开责任制，进一步完善信息公开制度，细化信息公开内容，做到责任到岗、任务到人，严格做到“谁主管、谁审核、谁发布、谁负责”的原则，明确专职人员进行信息公开报送，明确政务公开责任追究办法，完善保密审查等程序，完善配套制度，确保政务信息公开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方正楷体简体" w:hAnsi="方正楷体简体" w:eastAsia="方正楷体简体" w:cs="方正楷体简体"/>
          <w:b/>
          <w:bCs/>
          <w:sz w:val="32"/>
          <w:szCs w:val="32"/>
          <w:lang w:val="en-US" w:eastAsia="zh-CN"/>
        </w:rPr>
        <w:t xml:space="preserve">  （四）平台建设情况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及时修订完善网站管理内容保障机制，明确了区农业服务中心信息公开的范围、程序及方式；严格落实上级要求，规范升级政府信息公开专栏，及时调整完善公开事项，切实做好栏目调整，全面落实测评整改工作，建立了本部门主动公开标准目录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五</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监督保障</w:t>
      </w:r>
      <w:r>
        <w:rPr>
          <w:rFonts w:hint="eastAsia" w:ascii="方正楷体简体" w:hAnsi="方正楷体简体" w:eastAsia="方正楷体简体" w:cs="方正楷体简体"/>
          <w:b/>
          <w:bCs/>
          <w:sz w:val="32"/>
          <w:szCs w:val="32"/>
          <w:lang w:val="en-US" w:eastAsia="zh-CN"/>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黑体简体" w:eastAsia="方正黑体简体"/>
          <w:b/>
          <w:sz w:val="32"/>
          <w:szCs w:val="32"/>
          <w:lang w:val="en-US" w:eastAsia="zh-CN"/>
        </w:rPr>
      </w:pPr>
      <w:r>
        <w:rPr>
          <w:rFonts w:hint="eastAsia" w:ascii="方正仿宋简体" w:hAnsi="Times New Roman" w:eastAsia="方正仿宋简体" w:cs="Times New Roman"/>
          <w:b/>
          <w:color w:val="000000"/>
          <w:sz w:val="32"/>
          <w:szCs w:val="32"/>
          <w:lang w:val="en-US" w:eastAsia="zh-CN" w:bidi="ar-SA"/>
        </w:rPr>
        <w:t>强化组织领导，成立政务公开领导小组，我中心办公室统筹政府信息公开工作，负责落实政务公开工作的相关运行和保障工作，保证政府信息的收集、发布、日常维护、数据报送等工作落到实处。2022年度，政务公开工作未发生责任追究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rPr>
      </w:pPr>
      <w:r>
        <w:rPr>
          <w:rFonts w:hint="eastAsia" w:ascii="方正黑体简体" w:eastAsia="方正黑体简体"/>
          <w:b/>
          <w:sz w:val="32"/>
          <w:szCs w:val="32"/>
          <w:lang w:val="en-US" w:eastAsia="zh-CN"/>
        </w:rPr>
        <w:t>二、</w:t>
      </w:r>
      <w:r>
        <w:rPr>
          <w:rFonts w:hint="eastAsia" w:ascii="方正黑体简体" w:eastAsia="方正黑体简体"/>
          <w:b/>
          <w:sz w:val="32"/>
          <w:szCs w:val="32"/>
        </w:rPr>
        <w:t>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Arial Unicode MS" w:cs="Arial"/>
                <w:b w:val="0"/>
                <w:bCs/>
                <w:sz w:val="24"/>
                <w:szCs w:val="24"/>
              </w:rPr>
            </w:pPr>
            <w:r>
              <w:rPr>
                <w:rFonts w:hint="eastAsia" w:ascii="方正仿宋简体" w:hAnsi="宋体" w:eastAsia="方正仿宋简体" w:cs="宋体"/>
                <w:b/>
                <w:sz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Arial Unicode MS" w:cs="Arial"/>
                <w:b w:val="0"/>
                <w:bCs/>
                <w:sz w:val="24"/>
                <w:szCs w:val="24"/>
              </w:rPr>
            </w:pPr>
            <w:r>
              <w:rPr>
                <w:rFonts w:hint="eastAsia" w:ascii="方正仿宋简体" w:hAnsi="宋体" w:eastAsia="方正仿宋简体" w:cs="宋体"/>
                <w:b/>
                <w:sz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Arial Unicode MS" w:cs="Arial"/>
                <w:b w:val="0"/>
                <w:bCs/>
                <w:sz w:val="24"/>
                <w:szCs w:val="24"/>
              </w:rPr>
            </w:pPr>
            <w:r>
              <w:rPr>
                <w:rFonts w:hint="eastAsia" w:ascii="方正仿宋简体" w:hAnsi="宋体" w:eastAsia="方正仿宋简体" w:cs="宋体"/>
                <w:b/>
                <w:sz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Arial Unicode MS" w:cs="Arial"/>
                <w:b w:val="0"/>
                <w:bCs/>
                <w:sz w:val="24"/>
                <w:szCs w:val="24"/>
              </w:rPr>
            </w:pPr>
            <w:r>
              <w:rPr>
                <w:rFonts w:hint="eastAsia" w:ascii="方正仿宋简体" w:hAnsi="宋体" w:eastAsia="方正仿宋简体" w:cs="宋体"/>
                <w:b/>
                <w:sz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Arial Unicode MS" w:cs="Arial"/>
                <w:b w:val="0"/>
                <w:bCs/>
                <w:sz w:val="24"/>
                <w:szCs w:val="24"/>
              </w:rPr>
            </w:pPr>
            <w:r>
              <w:rPr>
                <w:rFonts w:hint="eastAsia" w:ascii="方正仿宋简体" w:hAnsi="宋体" w:eastAsia="方正仿宋简体" w:cs="宋体"/>
                <w:b/>
                <w:sz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rPr>
            </w:pPr>
            <w:r>
              <w:rPr>
                <w:rFonts w:hint="eastAsia" w:ascii="方正仿宋简体" w:hAnsi="宋体" w:eastAsia="方正仿宋简体" w:cs="宋体"/>
                <w:b/>
                <w:sz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Arial Unicode MS" w:cs="Arial"/>
                <w:b w:val="0"/>
                <w:bCs/>
                <w:sz w:val="24"/>
                <w:szCs w:val="24"/>
                <w:lang w:eastAsia="zh-CN"/>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Arial Unicode MS" w:cs="Arial"/>
                <w:b w:val="0"/>
                <w:bCs/>
                <w:sz w:val="24"/>
                <w:szCs w:val="24"/>
              </w:rPr>
            </w:pPr>
            <w:r>
              <w:rPr>
                <w:rFonts w:hint="eastAsia" w:ascii="方正仿宋简体" w:hAnsi="宋体" w:eastAsia="方正仿宋简体" w:cs="宋体"/>
                <w:b/>
                <w:sz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Arial" w:hAnsi="Arial" w:eastAsia="Arial Unicode MS" w:cs="Arial"/>
                <w:b w:val="0"/>
                <w:bCs/>
                <w:sz w:val="24"/>
                <w:szCs w:val="24"/>
                <w:lang w:val="en-US" w:eastAsia="zh-CN"/>
              </w:rPr>
            </w:pPr>
            <w:r>
              <w:rPr>
                <w:rFonts w:hint="eastAsia" w:ascii="方正仿宋简体" w:eastAsia="方正仿宋简体"/>
                <w:b/>
                <w:sz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Arial" w:hAnsi="Arial" w:eastAsia="方正黑体简体" w:cs="Arial"/>
                <w:b/>
                <w:sz w:val="24"/>
                <w:szCs w:val="24"/>
                <w:lang w:eastAsia="zh-CN"/>
              </w:rPr>
            </w:pPr>
            <w:r>
              <w:rPr>
                <w:rFonts w:hint="default" w:ascii="Arial" w:hAnsi="Arial" w:eastAsia="方正黑体简体" w:cs="Arial"/>
                <w:b/>
                <w:sz w:val="24"/>
                <w:szCs w:val="24"/>
                <w:lang w:eastAsia="zh-CN" w:bidi="ar"/>
              </w:rPr>
              <w:t>（</w:t>
            </w:r>
            <w:r>
              <w:rPr>
                <w:rFonts w:hint="default" w:ascii="Arial" w:hAnsi="Arial" w:eastAsia="方正黑体简体" w:cs="Arial"/>
                <w:b/>
                <w:sz w:val="24"/>
                <w:szCs w:val="24"/>
                <w:lang w:bidi="ar"/>
              </w:rPr>
              <w:t>本列数据的勾稽关系为：第一项加第二项之和，等于第三项加第四项之和</w:t>
            </w:r>
            <w:r>
              <w:rPr>
                <w:rFonts w:hint="default" w:ascii="Arial" w:hAnsi="Arial" w:eastAsia="方正黑体简体" w:cs="Arial"/>
                <w:b/>
                <w:sz w:val="24"/>
                <w:szCs w:val="24"/>
                <w:lang w:eastAsia="zh-CN" w:bidi="ar"/>
              </w:rPr>
              <w:t>）</w:t>
            </w:r>
          </w:p>
        </w:tc>
        <w:tc>
          <w:tcPr>
            <w:tcW w:w="4229" w:type="dxa"/>
            <w:gridSpan w:val="7"/>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Arial" w:hAnsi="Arial" w:eastAsia="方正黑体简体" w:cs="Arial"/>
                <w:b/>
                <w:sz w:val="24"/>
                <w:szCs w:val="24"/>
              </w:rPr>
            </w:pPr>
          </w:p>
        </w:tc>
        <w:tc>
          <w:tcPr>
            <w:tcW w:w="791" w:type="dxa"/>
            <w:vMerge w:val="restart"/>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Arial" w:hAnsi="Arial" w:eastAsia="方正仿宋简体" w:cs="Arial"/>
                <w:b/>
                <w:sz w:val="24"/>
                <w:szCs w:val="24"/>
              </w:rPr>
            </w:pPr>
          </w:p>
        </w:tc>
        <w:tc>
          <w:tcPr>
            <w:tcW w:w="791"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599" w:type="dxa"/>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商业</w:t>
            </w:r>
          </w:p>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企业</w:t>
            </w:r>
          </w:p>
        </w:tc>
        <w:tc>
          <w:tcPr>
            <w:tcW w:w="590" w:type="dxa"/>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科研</w:t>
            </w:r>
          </w:p>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机构</w:t>
            </w:r>
          </w:p>
        </w:tc>
        <w:tc>
          <w:tcPr>
            <w:tcW w:w="598" w:type="dxa"/>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社会公益组织</w:t>
            </w:r>
          </w:p>
        </w:tc>
        <w:tc>
          <w:tcPr>
            <w:tcW w:w="571" w:type="dxa"/>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法律服务机构</w:t>
            </w:r>
          </w:p>
        </w:tc>
        <w:tc>
          <w:tcPr>
            <w:tcW w:w="559" w:type="dxa"/>
            <w:noWrap w:val="0"/>
            <w:tcMar>
              <w:left w:w="57" w:type="dxa"/>
              <w:right w:w="57" w:type="dxa"/>
            </w:tcMar>
            <w:vAlign w:val="center"/>
          </w:tcPr>
          <w:p>
            <w:pPr>
              <w:widowControl/>
              <w:spacing w:line="30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其他</w:t>
            </w:r>
          </w:p>
        </w:tc>
        <w:tc>
          <w:tcPr>
            <w:tcW w:w="521"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一</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予以公开</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4"/>
                <w:szCs w:val="24"/>
                <w:lang w:eastAsia="zh-CN"/>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二</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部分公开</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区分处理的，只计这一情形，不计其他情形</w:t>
            </w:r>
            <w:r>
              <w:rPr>
                <w:rFonts w:hint="default" w:ascii="Arial" w:hAnsi="Arial" w:eastAsia="方正仿宋简体" w:cs="Arial"/>
                <w:b/>
                <w:sz w:val="24"/>
                <w:szCs w:val="24"/>
                <w:lang w:eastAsia="zh-CN" w:bidi="ar"/>
              </w:rPr>
              <w:t>）</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三</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不予公开</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四</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无法提供</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五</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不予处理</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2.重复申请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4"/>
                <w:szCs w:val="24"/>
              </w:rPr>
            </w:pPr>
            <w:r>
              <w:rPr>
                <w:rFonts w:hint="default" w:ascii="Arial" w:hAnsi="Arial" w:eastAsia="方正仿宋简体" w:cs="Arial"/>
                <w:b/>
                <w:sz w:val="24"/>
                <w:szCs w:val="24"/>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六</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其他处理</w:t>
            </w: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4"/>
                <w:szCs w:val="24"/>
              </w:rPr>
            </w:pPr>
            <w:r>
              <w:rPr>
                <w:rFonts w:hint="default" w:ascii="Arial" w:hAnsi="Arial" w:eastAsia="方正仿宋简体" w:cs="Arial"/>
                <w:b/>
                <w:sz w:val="24"/>
                <w:szCs w:val="24"/>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4"/>
                <w:szCs w:val="24"/>
              </w:rPr>
            </w:pPr>
            <w:r>
              <w:rPr>
                <w:rFonts w:hint="default" w:ascii="Arial" w:hAnsi="Arial" w:eastAsia="方正仿宋简体" w:cs="Arial"/>
                <w:b/>
                <w:sz w:val="24"/>
                <w:szCs w:val="24"/>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2878" w:type="dxa"/>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3.其他</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4"/>
                <w:szCs w:val="24"/>
                <w:lang w:val="en-US" w:eastAsia="zh-CN" w:bidi="ar-SA"/>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4"/>
                <w:szCs w:val="24"/>
              </w:rPr>
            </w:pP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七</w:t>
            </w:r>
            <w:r>
              <w:rPr>
                <w:rFonts w:hint="default" w:ascii="Arial" w:hAnsi="Arial" w:eastAsia="方正仿宋简体" w:cs="Arial"/>
                <w:b/>
                <w:sz w:val="24"/>
                <w:szCs w:val="24"/>
                <w:lang w:eastAsia="zh-CN" w:bidi="ar"/>
              </w:rPr>
              <w:t>）</w:t>
            </w:r>
            <w:r>
              <w:rPr>
                <w:rFonts w:hint="default" w:ascii="Arial" w:hAnsi="Arial" w:eastAsia="方正仿宋简体" w:cs="Arial"/>
                <w:b/>
                <w:sz w:val="24"/>
                <w:szCs w:val="24"/>
                <w:lang w:bidi="ar"/>
              </w:rPr>
              <w:t>总计</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val="en-US" w:eastAsia="zh-CN" w:bidi="ar"/>
              </w:rPr>
              <w:t>0</w:t>
            </w:r>
          </w:p>
        </w:tc>
        <w:tc>
          <w:tcPr>
            <w:tcW w:w="521" w:type="dxa"/>
            <w:noWrap w:val="0"/>
            <w:tcMar>
              <w:left w:w="57" w:type="dxa"/>
              <w:right w:w="57" w:type="dxa"/>
            </w:tcMar>
            <w:vAlign w:val="center"/>
          </w:tcPr>
          <w:p>
            <w:pPr>
              <w:spacing w:line="30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lang w:val="en-US" w:eastAsia="zh-CN"/>
        </w:rPr>
      </w:pPr>
      <w:r>
        <w:rPr>
          <w:rFonts w:hint="eastAsia" w:ascii="方正黑体简体" w:eastAsia="方正黑体简体"/>
          <w:b/>
          <w:sz w:val="32"/>
          <w:szCs w:val="32"/>
          <w:lang w:val="en-US" w:eastAsia="zh-CN"/>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一是相关制度规范尚不健全，主动公开力度不够；二是政务公开工作力量相对薄弱，存在信息公开不全面、不及时、部分信息质量不高等问题。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2023年，我中心将严格贯彻落关于政府信息公开工作的各项要求，严格对照目录标准公开，真正做到应公开尽公开。加强人员培训，提升实际工作水平，严谨细致地做好我中心政府信息公开工作，确保我中心政务信息及时、完整、准确发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方正黑体简体" w:eastAsia="方正黑体简体"/>
          <w:b/>
          <w:sz w:val="32"/>
          <w:szCs w:val="32"/>
          <w:lang w:val="en-US" w:eastAsia="zh-CN"/>
        </w:rPr>
      </w:pPr>
      <w:r>
        <w:rPr>
          <w:rFonts w:hint="eastAsia" w:ascii="方正黑体简体" w:eastAsia="方正黑体简体"/>
          <w:b/>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val="en-US" w:eastAsia="zh-CN"/>
        </w:rPr>
        <w:t>（一）</w:t>
      </w:r>
      <w:r>
        <w:rPr>
          <w:rFonts w:hint="eastAsia" w:ascii="方正楷体简体" w:hAnsi="方正楷体简体" w:eastAsia="方正楷体简体" w:cs="方正楷体简体"/>
          <w:b/>
          <w:bCs/>
          <w:sz w:val="32"/>
          <w:szCs w:val="32"/>
        </w:rPr>
        <w:t>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600" w:lineRule="exact"/>
        <w:ind w:right="-100" w:rightChars="-50" w:firstLine="643" w:firstLineChars="200"/>
        <w:textAlignment w:val="auto"/>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2022年，我中心依据《政府信息公开信息处理费管理办法》，没有收取任何信息处理费用。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落实上级年度政务公开工作要点情况</w:t>
      </w:r>
    </w:p>
    <w:p>
      <w:pPr>
        <w:keepNext w:val="0"/>
        <w:keepLines w:val="0"/>
        <w:pageBreakBefore w:val="0"/>
        <w:kinsoku/>
        <w:wordWrap/>
        <w:overflowPunct/>
        <w:topLinePunct w:val="0"/>
        <w:autoSpaceDE/>
        <w:autoSpaceDN/>
        <w:bidi w:val="0"/>
        <w:adjustRightInd/>
        <w:snapToGrid/>
        <w:spacing w:line="600" w:lineRule="exact"/>
        <w:ind w:right="-100" w:rightChars="-50" w:firstLine="643" w:firstLineChars="200"/>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t>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lang w:eastAsia="zh-CN"/>
        </w:rPr>
        <w:t>年，</w:t>
      </w:r>
      <w:r>
        <w:rPr>
          <w:rFonts w:hint="eastAsia" w:ascii="方正仿宋简体" w:eastAsia="方正仿宋简体"/>
          <w:b/>
          <w:color w:val="000000"/>
          <w:sz w:val="32"/>
          <w:szCs w:val="32"/>
          <w:lang w:val="en-US" w:eastAsia="zh-CN"/>
        </w:rPr>
        <w:t>我中心</w:t>
      </w:r>
      <w:r>
        <w:rPr>
          <w:rFonts w:hint="eastAsia" w:ascii="方正仿宋简体" w:eastAsia="方正仿宋简体"/>
          <w:b/>
          <w:color w:val="000000"/>
          <w:sz w:val="32"/>
          <w:szCs w:val="32"/>
          <w:lang w:eastAsia="zh-CN"/>
        </w:rPr>
        <w:t>认真落实上级部门年度政务工作要点，进一步细化分解，将任务责任到人，确保应公开尽公开，不断提升政务公开能力水平。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（三）</w:t>
      </w:r>
      <w:r>
        <w:rPr>
          <w:rFonts w:hint="eastAsia" w:ascii="方正楷体简体" w:hAnsi="方正楷体简体" w:eastAsia="方正楷体简体" w:cs="方正楷体简体"/>
          <w:b/>
          <w:bCs/>
          <w:sz w:val="32"/>
          <w:szCs w:val="32"/>
        </w:rPr>
        <w:t>人大代表建议和政协提案办理结果公开情况</w:t>
      </w:r>
    </w:p>
    <w:p>
      <w:pPr>
        <w:keepNext w:val="0"/>
        <w:keepLines w:val="0"/>
        <w:pageBreakBefore w:val="0"/>
        <w:kinsoku/>
        <w:wordWrap/>
        <w:overflowPunct/>
        <w:topLinePunct w:val="0"/>
        <w:autoSpaceDE/>
        <w:autoSpaceDN/>
        <w:bidi w:val="0"/>
        <w:adjustRightInd/>
        <w:snapToGrid/>
        <w:spacing w:line="600" w:lineRule="exact"/>
        <w:ind w:right="-100" w:rightChars="-50" w:firstLine="643" w:firstLineChars="200"/>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val="en-US" w:eastAsia="zh-CN"/>
        </w:rPr>
        <w:t>我中心</w:t>
      </w:r>
      <w:r>
        <w:rPr>
          <w:rFonts w:hint="eastAsia" w:ascii="方正仿宋简体" w:eastAsia="方正仿宋简体"/>
          <w:b/>
          <w:color w:val="000000"/>
          <w:sz w:val="32"/>
          <w:szCs w:val="32"/>
          <w:lang w:eastAsia="zh-CN"/>
        </w:rPr>
        <w:t>未承办人大代表建议和政协提案。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四</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年度政务公开工作创新情况</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3" w:firstLineChars="200"/>
        <w:textAlignment w:val="auto"/>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2022年，</w:t>
      </w:r>
      <w:r>
        <w:rPr>
          <w:rFonts w:hint="eastAsia" w:ascii="方正仿宋简体" w:eastAsia="方正仿宋简体"/>
          <w:b/>
          <w:color w:val="000000"/>
          <w:sz w:val="32"/>
          <w:szCs w:val="32"/>
          <w:lang w:eastAsia="zh-CN"/>
        </w:rPr>
        <w:t>成立政务公开工作领导小组，专门负责领导本单位政务信息发布、维护、回应、解读等相关工作，充分发挥好</w:t>
      </w:r>
      <w:r>
        <w:rPr>
          <w:rFonts w:hint="eastAsia" w:ascii="方正仿宋简体" w:eastAsia="方正仿宋简体"/>
          <w:b/>
          <w:color w:val="000000"/>
          <w:sz w:val="32"/>
          <w:szCs w:val="32"/>
          <w:lang w:val="en-US" w:eastAsia="zh-CN"/>
        </w:rPr>
        <w:t>中心</w:t>
      </w:r>
      <w:r>
        <w:rPr>
          <w:rFonts w:hint="eastAsia" w:ascii="方正仿宋简体" w:eastAsia="方正仿宋简体"/>
          <w:b/>
          <w:color w:val="000000"/>
          <w:sz w:val="32"/>
          <w:szCs w:val="32"/>
          <w:lang w:eastAsia="zh-CN"/>
        </w:rPr>
        <w:t>办公室牵头协调、各科室配合的工作机制。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jc w:val="both"/>
        <w:textAlignment w:val="auto"/>
        <w:rPr>
          <w:rFonts w:hint="default" w:ascii="方正仿宋简体" w:hAnsi="Times New Roman" w:eastAsia="方正仿宋简体" w:cs="Times New Roman"/>
          <w:b/>
          <w:color w:val="000000"/>
          <w:sz w:val="32"/>
          <w:szCs w:val="32"/>
          <w:lang w:val="en-US" w:eastAsia="zh-CN" w:bidi="ar-SA"/>
        </w:rPr>
      </w:pPr>
      <w:r>
        <w:rPr>
          <w:rFonts w:hint="eastAsia" w:ascii="方正楷体简体" w:hAnsi="方正楷体简体" w:eastAsia="方正楷体简体" w:cs="方正楷体简体"/>
          <w:b/>
          <w:bCs/>
          <w:sz w:val="32"/>
          <w:szCs w:val="32"/>
          <w:lang w:eastAsia="zh-CN"/>
        </w:rPr>
        <w:t>政府信息公开工作年度报告数据统计需要说明的事项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（六）需要报告的其他事项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七</w:t>
      </w:r>
      <w:r>
        <w:rPr>
          <w:rFonts w:hint="eastAsia" w:ascii="方正楷体简体" w:hAnsi="方正楷体简体" w:eastAsia="方正楷体简体" w:cs="方正楷体简体"/>
          <w:b/>
          <w:bCs/>
          <w:sz w:val="32"/>
          <w:szCs w:val="32"/>
          <w:lang w:eastAsia="zh-CN"/>
        </w:rPr>
        <w:t>）其他有关文件专门要求通过政府信息公开工作年度报告予以报告的事项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无。</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2BC9A"/>
    <w:multiLevelType w:val="singleLevel"/>
    <w:tmpl w:val="FB02BC9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c1NTE4MDhlZDU3NWE5NmQzNmQ4YmI2ZWQ1NTQifQ=="/>
  </w:docVars>
  <w:rsids>
    <w:rsidRoot w:val="00000000"/>
    <w:rsid w:val="0040683F"/>
    <w:rsid w:val="02E3031E"/>
    <w:rsid w:val="05512C3E"/>
    <w:rsid w:val="05904DF0"/>
    <w:rsid w:val="0A0F2828"/>
    <w:rsid w:val="0B4E0D98"/>
    <w:rsid w:val="0F1621F1"/>
    <w:rsid w:val="122C2707"/>
    <w:rsid w:val="16BD1A64"/>
    <w:rsid w:val="17DC07A7"/>
    <w:rsid w:val="1FE41930"/>
    <w:rsid w:val="200C1544"/>
    <w:rsid w:val="2A016C67"/>
    <w:rsid w:val="32FC02C9"/>
    <w:rsid w:val="34010B45"/>
    <w:rsid w:val="34E86BB8"/>
    <w:rsid w:val="388C6E05"/>
    <w:rsid w:val="3A9E0EF3"/>
    <w:rsid w:val="3B3D4642"/>
    <w:rsid w:val="43843C35"/>
    <w:rsid w:val="4574186F"/>
    <w:rsid w:val="461129C3"/>
    <w:rsid w:val="4ABD7739"/>
    <w:rsid w:val="521623DA"/>
    <w:rsid w:val="53AB62EB"/>
    <w:rsid w:val="572A5AE1"/>
    <w:rsid w:val="62EA41DC"/>
    <w:rsid w:val="648F34EA"/>
    <w:rsid w:val="67B14070"/>
    <w:rsid w:val="682009BC"/>
    <w:rsid w:val="6E005B10"/>
    <w:rsid w:val="6FAD3DE3"/>
    <w:rsid w:val="764160F2"/>
    <w:rsid w:val="7883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t>政务公开工作情况</a:t>
            </a:r>
          </a:p>
        </c:rich>
      </c:tx>
      <c:layout/>
      <c:overlay val="0"/>
      <c:spPr>
        <a:noFill/>
        <a:ln>
          <a:noFill/>
        </a:ln>
        <a:effectLst/>
      </c:spPr>
    </c:title>
    <c:autoTitleDeleted val="0"/>
    <c:plotArea>
      <c:layout>
        <c:manualLayout>
          <c:layoutTarget val="inner"/>
          <c:xMode val="edge"/>
          <c:yMode val="edge"/>
          <c:x val="0.065227682747561"/>
          <c:y val="0.247100273018485"/>
          <c:w val="0.387144193505279"/>
          <c:h val="0.64607493309545"/>
        </c:manualLayout>
      </c:layout>
      <c:pieChart>
        <c:varyColors val="1"/>
        <c:ser>
          <c:idx val="0"/>
          <c:order val="0"/>
          <c:tx>
            <c:strRef>
              <c:f>Sheet1!$B$1</c:f>
              <c:strCache>
                <c:ptCount val="1"/>
                <c:pt idx="0">
                  <c:v>政务公开工作情况</c:v>
                </c:pt>
              </c:strCache>
            </c:strRef>
          </c:tx>
          <c:spPr>
            <a:ln w="19050">
              <a:solidFill>
                <a:schemeClr val="bg1"/>
              </a:solidFill>
            </a:ln>
            <a:effectLst>
              <a:outerShdw blurRad="63500" sx="102000" sy="102000" algn="ctr" rotWithShape="0">
                <a:srgbClr val="384C7C">
                  <a:alpha val="18000"/>
                </a:srgbClr>
              </a:outerShdw>
            </a:effectLst>
          </c:spPr>
          <c:explosion val="0"/>
          <c:dPt>
            <c:idx val="0"/>
            <c:bubble3D val="0"/>
            <c:spPr>
              <a:solidFill>
                <a:srgbClr val="04CD9E"/>
              </a:solidFill>
              <a:ln w="19050">
                <a:solidFill>
                  <a:schemeClr val="bg1"/>
                </a:solidFill>
                <a:miter lim="800000"/>
              </a:ln>
              <a:effectLst>
                <a:outerShdw blurRad="63500" sx="102000" sy="102000" algn="ctr" rotWithShape="0">
                  <a:srgbClr val="384C7C">
                    <a:alpha val="18000"/>
                  </a:srgbClr>
                </a:outerShdw>
              </a:effectLst>
            </c:spPr>
          </c:dPt>
          <c:dPt>
            <c:idx val="1"/>
            <c:bubble3D val="0"/>
            <c:spPr>
              <a:solidFill>
                <a:srgbClr val="80E214"/>
              </a:solidFill>
              <a:ln w="22225">
                <a:solidFill>
                  <a:schemeClr val="bg1"/>
                </a:solidFill>
              </a:ln>
              <a:effectLst>
                <a:outerShdw blurRad="63500" sx="102000" sy="102000" algn="ctr" rotWithShape="0">
                  <a:srgbClr val="384C7C">
                    <a:alpha val="18000"/>
                  </a:srgbClr>
                </a:outerShdw>
              </a:effectLst>
            </c:spPr>
          </c:dPt>
          <c:dPt>
            <c:idx val="2"/>
            <c:bubble3D val="0"/>
            <c:spPr>
              <a:solidFill>
                <a:srgbClr val="119FBE"/>
              </a:solidFill>
              <a:ln w="19050">
                <a:solidFill>
                  <a:schemeClr val="bg1"/>
                </a:solidFill>
              </a:ln>
              <a:effectLst>
                <a:outerShdw blurRad="63500" sx="102000" sy="102000" algn="ctr" rotWithShape="0">
                  <a:srgbClr val="384C7C">
                    <a:alpha val="18000"/>
                  </a:srgbClr>
                </a:outerShdw>
              </a:effectLst>
            </c:spPr>
          </c:dPt>
          <c:dPt>
            <c:idx val="3"/>
            <c:bubble3D val="0"/>
            <c:spPr>
              <a:solidFill>
                <a:srgbClr val="EBC279"/>
              </a:solidFill>
              <a:ln w="19050">
                <a:solidFill>
                  <a:schemeClr val="bg1"/>
                </a:solidFill>
              </a:ln>
              <a:effectLst>
                <a:outerShdw blurRad="63500" sx="102000" sy="102000" algn="ctr" rotWithShape="0">
                  <a:srgbClr val="384C7C">
                    <a:alpha val="18000"/>
                  </a:srgbClr>
                </a:outerShdw>
              </a:effectLst>
            </c:spPr>
          </c:dPt>
          <c:dPt>
            <c:idx val="4"/>
            <c:bubble3D val="0"/>
            <c:spPr>
              <a:solidFill>
                <a:schemeClr val="accent5"/>
              </a:solidFill>
              <a:ln w="19050">
                <a:solidFill>
                  <a:schemeClr val="bg1"/>
                </a:solidFill>
              </a:ln>
              <a:effectLst>
                <a:outerShdw blurRad="63500" sx="102000" sy="102000" algn="ctr" rotWithShape="0">
                  <a:srgbClr val="384C7C">
                    <a:alpha val="18000"/>
                  </a:srgb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财政预决算</c:v>
                </c:pt>
                <c:pt idx="1">
                  <c:v>政策解读</c:v>
                </c:pt>
                <c:pt idx="2">
                  <c:v>涉农补贴</c:v>
                </c:pt>
                <c:pt idx="3">
                  <c:v>“双随机、 一公开”监管</c:v>
                </c:pt>
                <c:pt idx="4">
                  <c:v>其他信息</c:v>
                </c:pt>
              </c:strCache>
            </c:strRef>
          </c:cat>
          <c:val>
            <c:numRef>
              <c:f>Sheet1!$B$2:$B$6</c:f>
              <c:numCache>
                <c:formatCode>General</c:formatCode>
                <c:ptCount val="5"/>
                <c:pt idx="0">
                  <c:v>4</c:v>
                </c:pt>
                <c:pt idx="1">
                  <c:v>3</c:v>
                </c:pt>
                <c:pt idx="2">
                  <c:v>17</c:v>
                </c:pt>
                <c:pt idx="3">
                  <c:v>3</c:v>
                </c:pt>
                <c:pt idx="4">
                  <c:v>9</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2"/>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3"/>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4"/>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ayout>
        <c:manualLayout>
          <c:xMode val="edge"/>
          <c:yMode val="edge"/>
          <c:x val="0.49125"/>
          <c:y val="0.585166666666667"/>
          <c:w val="0.505"/>
          <c:h val="0.362333333333333"/>
        </c:manualLayout>
      </c:layout>
      <c:overlay val="0"/>
      <c:spPr>
        <a:noFill/>
        <a:ln>
          <a:noFill/>
        </a:ln>
        <a:effectLst/>
      </c:spPr>
      <c:txPr>
        <a:bodyPr rot="0" spcFirstLastPara="0" vertOverflow="ellipsis" vert="horz" wrap="square" anchor="ctr" anchorCtr="1" forceAA="0"/>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2343</Words>
  <Characters>2437</Characters>
  <Lines>0</Lines>
  <Paragraphs>0</Paragraphs>
  <TotalTime>0</TotalTime>
  <ScaleCrop>false</ScaleCrop>
  <LinksUpToDate>false</LinksUpToDate>
  <CharactersWithSpaces>2441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2022-03-04T02:31:00Z</dcterms:created>
  <dc:creator>LENOVO</dc:creator>
  <cp:lastModifiedBy>冯广志</cp:lastModifiedBy>
  <dcterms:modified xsi:type="dcterms:W3CDTF">2023-02-03T08:48:30Z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7CBFC81BCF5C42AEA66D79C535EA454F</vt:lpwstr>
  </property>
</Properties>
</file>