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sz w:val="44"/>
          <w:szCs w:val="44"/>
          <w:lang w:val="en-US" w:eastAsia="zh-CN"/>
        </w:rPr>
      </w:pPr>
      <w:r>
        <w:rPr>
          <w:rFonts w:hint="default" w:ascii="Times New Roman" w:hAnsi="Times New Roman" w:eastAsia="方正小标宋简体" w:cs="Times New Roman"/>
          <w:b/>
          <w:color w:val="000000"/>
          <w:sz w:val="44"/>
          <w:szCs w:val="44"/>
          <w:lang w:val="en-US" w:eastAsia="zh-CN"/>
        </w:rPr>
        <w:t>济宁太白湖新区市场监督管理局</w:t>
      </w:r>
    </w:p>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济宁太白湖新区市场监督管理局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年12月31日止。本报告电子版可在“中国·济宁”政府门户网站（http://bhdjq.jining.gov.cn/）查阅或下载。如对本报告有疑问，请与</w:t>
      </w:r>
      <w:r>
        <w:rPr>
          <w:rFonts w:hint="default" w:ascii="Times New Roman" w:hAnsi="Times New Roman" w:eastAsia="方正仿宋简体" w:cs="Times New Roman"/>
          <w:b/>
          <w:color w:val="000000"/>
          <w:sz w:val="32"/>
          <w:szCs w:val="32"/>
          <w:lang w:val="en-US" w:eastAsia="zh-CN"/>
        </w:rPr>
        <w:t>济宁太白湖新区市场监督管理局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济宁太白湖新区新城发展大厦A座1楼4区</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3297079</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1" w:firstLineChars="200"/>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2023年，济宁太白湖新区市场监督管理局紧紧围绕区管委会决策部署，全力推进政务公开各项任务落实落细，现将2023年政府信息工作情况报告如下</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2023年度，累计公开政务信息12</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条，其中政府网站公开信息12</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条。区管委会网站主动公开信息12</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件，包括政策解读1件，机构职能1件,“双随机、一公开”监管9件，财政信息预决算2件，行政执法公示76件，产品质量监督抽查公示信息1</w:t>
      </w:r>
      <w:r>
        <w:rPr>
          <w:rFonts w:hint="eastAsia" w:ascii="Times New Roman" w:hAnsi="Times New Roman" w:eastAsia="方正仿宋简体" w:cs="Times New Roman"/>
          <w:b/>
          <w:color w:val="000000"/>
          <w:sz w:val="32"/>
          <w:szCs w:val="32"/>
          <w:lang w:val="en-US" w:eastAsia="zh-CN"/>
        </w:rPr>
        <w:t>件</w:t>
      </w:r>
      <w:r>
        <w:rPr>
          <w:rFonts w:hint="default" w:ascii="Times New Roman" w:hAnsi="Times New Roman" w:eastAsia="方正仿宋简体" w:cs="Times New Roman"/>
          <w:b/>
          <w:color w:val="000000"/>
          <w:sz w:val="32"/>
          <w:szCs w:val="32"/>
          <w:lang w:val="en-US" w:eastAsia="zh-CN"/>
        </w:rPr>
        <w:t>，食品药品监管信息</w:t>
      </w:r>
      <w:r>
        <w:rPr>
          <w:rFonts w:hint="eastAsia" w:ascii="Times New Roman" w:hAnsi="Times New Roman" w:eastAsia="方正仿宋简体" w:cs="Times New Roman"/>
          <w:b/>
          <w:color w:val="000000"/>
          <w:sz w:val="32"/>
          <w:szCs w:val="32"/>
          <w:lang w:val="en-US" w:eastAsia="zh-CN"/>
        </w:rPr>
        <w:t>及</w:t>
      </w:r>
      <w:r>
        <w:rPr>
          <w:rFonts w:hint="default" w:ascii="Times New Roman" w:hAnsi="Times New Roman" w:eastAsia="方正仿宋简体" w:cs="Times New Roman"/>
          <w:b/>
          <w:color w:val="000000"/>
          <w:sz w:val="32"/>
          <w:szCs w:val="32"/>
          <w:lang w:val="en-US" w:eastAsia="zh-CN"/>
        </w:rPr>
        <w:t>消费提醒30</w:t>
      </w:r>
      <w:r>
        <w:rPr>
          <w:rFonts w:hint="eastAsia" w:ascii="Times New Roman" w:hAnsi="Times New Roman" w:eastAsia="方正仿宋简体" w:cs="Times New Roman"/>
          <w:b/>
          <w:color w:val="000000"/>
          <w:sz w:val="32"/>
          <w:szCs w:val="32"/>
          <w:lang w:val="en-US" w:eastAsia="zh-CN"/>
        </w:rPr>
        <w:t>件</w:t>
      </w:r>
      <w:r>
        <w:rPr>
          <w:rFonts w:hint="default" w:ascii="Times New Roman" w:hAnsi="Times New Roman"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政务信息公开年报1件。</w:t>
      </w:r>
      <w:r>
        <w:rPr>
          <w:rFonts w:hint="default" w:ascii="Times New Roman" w:hAnsi="Times New Roman" w:eastAsia="方正仿宋简体" w:cs="Times New Roman"/>
          <w:b/>
          <w:color w:val="000000"/>
          <w:sz w:val="32"/>
          <w:szCs w:val="32"/>
          <w:lang w:val="en-US" w:eastAsia="zh-CN"/>
        </w:rPr>
        <w:t>其他法定公开内容全部通过政府信息公开专栏集中公开。基本上做到了日常性工作定期公开，阶段性工作逐段公开，事关群众切身利益的事项及时公开。</w:t>
      </w:r>
    </w:p>
    <w:p>
      <w:pPr>
        <w:pStyle w:val="2"/>
        <w:jc w:val="left"/>
        <w:rPr>
          <w:rFonts w:hint="default"/>
          <w:lang w:val="en-US" w:eastAsia="zh-CN"/>
        </w:rPr>
      </w:pPr>
      <w:r>
        <w:rPr>
          <w:rFonts w:hint="eastAsia"/>
          <w:lang w:val="en-US" w:eastAsia="zh-CN"/>
        </w:rPr>
        <w:drawing>
          <wp:inline distT="0" distB="0" distL="114300" distR="114300">
            <wp:extent cx="6112510" cy="4040505"/>
            <wp:effectExtent l="9525" t="9525" r="12065" b="2667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a:stretch>
                      <a:fillRect/>
                    </a:stretch>
                  </pic:blipFill>
                  <pic:spPr>
                    <a:xfrm>
                      <a:off x="0" y="0"/>
                      <a:ext cx="6112510" cy="4040505"/>
                    </a:xfrm>
                    <a:prstGeom prst="rect">
                      <a:avLst/>
                    </a:prstGeom>
                    <a:ln>
                      <a:solidFill>
                        <a:srgbClr val="F9FAFB"/>
                      </a:solidFill>
                    </a:ln>
                    <a:extLst>
                      <wpswe:webExtensionRef xmlns:wpswe="http://www.wps.cn/officeDocument/2018/webExtension" r:id="rId5"/>
                    </a:extLst>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年，未收到依申请公开件。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为确保信息公开透明、实用规范，按照“控制源头、加强检查、明确责任、落实制度”的原则，信息公开前必须经分管领导进行审核，特别重大的由局主要负责人把关，坚持“谁供稿、谁负责”，确保责任到人，有效地促进了政务公开工作的顺利开展。202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年，无一例政府信息公开失密、泄密事件发生，未接到政务公开相关举报、投诉、行政复议或行政诉讼等事件。</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在严格把</w:t>
      </w:r>
      <w:r>
        <w:rPr>
          <w:rFonts w:hint="default" w:ascii="Times New Roman" w:hAnsi="Times New Roman" w:eastAsia="方正仿宋简体" w:cs="Times New Roman"/>
          <w:b/>
          <w:bCs/>
          <w:sz w:val="32"/>
          <w:szCs w:val="32"/>
          <w:lang w:eastAsia="zh-CN"/>
        </w:rPr>
        <w:t>区管委会</w:t>
      </w:r>
      <w:r>
        <w:rPr>
          <w:rFonts w:hint="default" w:ascii="Times New Roman" w:hAnsi="Times New Roman" w:eastAsia="方正仿宋简体" w:cs="Times New Roman"/>
          <w:b/>
          <w:bCs/>
          <w:sz w:val="32"/>
          <w:szCs w:val="32"/>
        </w:rPr>
        <w:t>网站要求的规定内容做好政务公开外，积极利用新媒体资源畅通及时发布工作动态，打通互联网信息沟通的路线，方便群众及时了解单位工作动态信息及相关办事程序，自觉接受群众和舆论监督。</w:t>
      </w: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 w:val="32"/>
          <w:szCs w:val="32"/>
          <w14:textFill>
            <w14:solidFill>
              <w14:schemeClr w14:val="tx1"/>
            </w14:solidFill>
          </w14:textFill>
        </w:rPr>
        <w:t>年，在</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济宁日报</w:t>
      </w:r>
      <w:r>
        <w:rPr>
          <w:rFonts w:hint="default" w:ascii="Times New Roman" w:hAnsi="Times New Roman" w:eastAsia="方正仿宋简体" w:cs="Times New Roman"/>
          <w:b/>
          <w:bCs/>
          <w:color w:val="000000" w:themeColor="text1"/>
          <w:sz w:val="32"/>
          <w:szCs w:val="32"/>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齐鲁晚报、齐鲁壹点、区级融媒体</w:t>
      </w:r>
      <w:r>
        <w:rPr>
          <w:rFonts w:hint="default" w:ascii="Times New Roman" w:hAnsi="Times New Roman" w:eastAsia="方正仿宋简体" w:cs="Times New Roman"/>
          <w:b/>
          <w:bCs/>
          <w:color w:val="000000" w:themeColor="text1"/>
          <w:sz w:val="32"/>
          <w:szCs w:val="32"/>
          <w14:textFill>
            <w14:solidFill>
              <w14:schemeClr w14:val="tx1"/>
            </w14:solidFill>
          </w14:textFill>
        </w:rPr>
        <w:t>等</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平台</w:t>
      </w:r>
      <w:r>
        <w:rPr>
          <w:rFonts w:hint="default" w:ascii="Times New Roman" w:hAnsi="Times New Roman" w:eastAsia="方正仿宋简体" w:cs="Times New Roman"/>
          <w:b/>
          <w:bCs/>
          <w:color w:val="000000" w:themeColor="text1"/>
          <w:sz w:val="32"/>
          <w:szCs w:val="32"/>
          <w14:textFill>
            <w14:solidFill>
              <w14:schemeClr w14:val="tx1"/>
            </w14:solidFill>
          </w14:textFill>
        </w:rPr>
        <w:t>上发布信息</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62</w:t>
      </w:r>
      <w:r>
        <w:rPr>
          <w:rFonts w:hint="default" w:ascii="Times New Roman" w:hAnsi="Times New Roman" w:eastAsia="方正仿宋简体" w:cs="Times New Roman"/>
          <w:b/>
          <w:bCs/>
          <w:color w:val="000000" w:themeColor="text1"/>
          <w:sz w:val="32"/>
          <w:szCs w:val="32"/>
          <w14:textFill>
            <w14:solidFill>
              <w14:schemeClr w14:val="tx1"/>
            </w14:solidFill>
          </w14:textFill>
        </w:rPr>
        <w:t>余条。</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高度重视政务公开工作，指定1名办公室人员为政务公开专员，负责全局政务公开工作，为高效准确开展工作打下坚实的组织基础。同时，定期在局</w:t>
      </w:r>
      <w:r>
        <w:rPr>
          <w:rFonts w:hint="default" w:ascii="Times New Roman" w:hAnsi="Times New Roman" w:eastAsia="方正仿宋简体" w:cs="Times New Roman"/>
          <w:b/>
          <w:bCs/>
          <w:sz w:val="32"/>
          <w:szCs w:val="32"/>
          <w:lang w:eastAsia="zh-CN"/>
        </w:rPr>
        <w:t>有关工作会议上</w:t>
      </w:r>
      <w:r>
        <w:rPr>
          <w:rFonts w:hint="default" w:ascii="Times New Roman" w:hAnsi="Times New Roman" w:eastAsia="方正仿宋简体" w:cs="Times New Roman"/>
          <w:b/>
          <w:bCs/>
          <w:sz w:val="32"/>
          <w:szCs w:val="32"/>
        </w:rPr>
        <w:t>听取工作开展汇报，集体讨论政务公开工作中遇到的难题和研究下一步开展思路，为政务公开工作良性运行建立了清晰的工作机制。对照重点领域，按照</w:t>
      </w:r>
      <w:r>
        <w:rPr>
          <w:rFonts w:hint="default" w:ascii="Times New Roman" w:hAnsi="Times New Roman" w:eastAsia="方正仿宋简体" w:cs="Times New Roman"/>
          <w:b/>
          <w:bCs/>
          <w:sz w:val="32"/>
          <w:szCs w:val="32"/>
          <w:lang w:eastAsia="zh-CN"/>
        </w:rPr>
        <w:t>区管委会</w:t>
      </w:r>
      <w:r>
        <w:rPr>
          <w:rFonts w:hint="default" w:ascii="Times New Roman" w:hAnsi="Times New Roman" w:eastAsia="方正仿宋简体" w:cs="Times New Roman"/>
          <w:b/>
          <w:bCs/>
          <w:sz w:val="32"/>
          <w:szCs w:val="32"/>
        </w:rPr>
        <w:t>网站内容设定，对信息公开工作进行了安排部署和严格落实。公开了部门的权力和责任清单，公开了事关群众切身利益的事项、公开了年度财政预算、及时主动地公开行政处罚、行政强制等内容。</w:t>
      </w:r>
    </w:p>
    <w:p>
      <w:pPr>
        <w:pStyle w:val="2"/>
        <w:jc w:val="left"/>
        <w:rPr>
          <w:rFonts w:hint="default" w:ascii="Times New Roman" w:hAnsi="Times New Roman" w:eastAsia="方正仿宋简体" w:cs="Times New Roman"/>
          <w:b/>
          <w:bCs/>
          <w:sz w:val="32"/>
          <w:szCs w:val="32"/>
        </w:rPr>
      </w:pPr>
    </w:p>
    <w:p>
      <w:pPr>
        <w:pStyle w:val="2"/>
        <w:jc w:val="left"/>
        <w:rPr>
          <w:rFonts w:hint="default" w:ascii="Times New Roman" w:hAnsi="Times New Roman" w:eastAsia="方正仿宋简体" w:cs="Times New Roman"/>
          <w:b/>
          <w:bCs/>
          <w:sz w:val="32"/>
          <w:szCs w:val="32"/>
        </w:rPr>
      </w:pPr>
    </w:p>
    <w:p>
      <w:pPr>
        <w:pStyle w:val="2"/>
        <w:jc w:val="left"/>
        <w:rPr>
          <w:rFonts w:hint="default" w:ascii="Times New Roman" w:hAnsi="Times New Roman" w:eastAsia="方正仿宋简体" w:cs="Times New Roman"/>
          <w:b/>
          <w:bCs/>
          <w:sz w:val="32"/>
          <w:szCs w:val="32"/>
        </w:rPr>
      </w:pPr>
    </w:p>
    <w:p>
      <w:pPr>
        <w:pStyle w:val="2"/>
        <w:jc w:val="left"/>
        <w:rPr>
          <w:rFonts w:hint="default" w:ascii="Times New Roman" w:hAnsi="Times New Roman" w:eastAsia="方正仿宋简体" w:cs="Times New Roman"/>
          <w:b/>
          <w:bCs/>
          <w:sz w:val="32"/>
          <w:szCs w:val="32"/>
        </w:rPr>
      </w:pPr>
    </w:p>
    <w:p>
      <w:pPr>
        <w:keepNext w:val="0"/>
        <w:keepLines w:val="0"/>
        <w:pageBreakBefore w:val="0"/>
        <w:widowControl w:val="0"/>
        <w:numPr>
          <w:ilvl w:val="0"/>
          <w:numId w:val="1"/>
        </w:numPr>
        <w:tabs>
          <w:tab w:val="left" w:pos="512"/>
        </w:tabs>
        <w:kinsoku/>
        <w:wordWrap/>
        <w:overflowPunct/>
        <w:topLinePunct w:val="0"/>
        <w:autoSpaceDE/>
        <w:autoSpaceDN/>
        <w:bidi w:val="0"/>
        <w:adjustRightInd/>
        <w:snapToGrid/>
        <w:spacing w:line="560" w:lineRule="exact"/>
        <w:ind w:right="-100" w:rightChars="-50" w:firstLine="641" w:firstLineChars="200"/>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主动公开政府信息情况</w:t>
      </w:r>
    </w:p>
    <w:p>
      <w:pPr>
        <w:pStyle w:val="2"/>
        <w:widowControl w:val="0"/>
        <w:numPr>
          <w:ilvl w:val="0"/>
          <w:numId w:val="0"/>
        </w:numPr>
        <w:autoSpaceDE w:val="0"/>
        <w:autoSpaceDN w:val="0"/>
        <w:adjustRightInd w:val="0"/>
        <w:jc w:val="left"/>
        <w:rPr>
          <w:rFonts w:hint="default"/>
        </w:rPr>
      </w:pPr>
    </w:p>
    <w:p>
      <w:pPr>
        <w:pStyle w:val="2"/>
        <w:widowControl w:val="0"/>
        <w:numPr>
          <w:ilvl w:val="0"/>
          <w:numId w:val="0"/>
        </w:numPr>
        <w:autoSpaceDE w:val="0"/>
        <w:autoSpaceDN w:val="0"/>
        <w:adjustRightInd w:val="0"/>
        <w:jc w:val="left"/>
        <w:rPr>
          <w:rFonts w:hint="default"/>
        </w:rPr>
      </w:pP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sz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sz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sz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14:textFill>
                  <w14:solidFill>
                    <w14:schemeClr w14:val="tx1"/>
                  </w14:solidFill>
                </w14:textFill>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sz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14:textFill>
                  <w14:solidFill>
                    <w14:schemeClr w14:val="tx1"/>
                  </w14:solidFill>
                </w14:textFill>
              </w:rPr>
            </w:pPr>
            <w:r>
              <w:rPr>
                <w:rFonts w:hint="default" w:ascii="Times New Roman" w:hAnsi="Times New Roman" w:eastAsia="方正仿宋简体" w:cs="Times New Roman"/>
                <w:b/>
                <w:color w:val="000000" w:themeColor="text1"/>
                <w:sz w:val="24"/>
                <w:lang w:bidi="ar"/>
                <w14:textFill>
                  <w14:solidFill>
                    <w14:schemeClr w14:val="tx1"/>
                  </w14:solidFill>
                </w14:textFill>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lang w:val="en-US" w:eastAsia="zh-CN"/>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before="62" w:beforeLines="10" w:after="62" w:afterLines="10" w:line="480" w:lineRule="auto"/>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商业</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科研</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480" w:lineRule="auto"/>
        <w:ind w:right="-100" w:rightChars="-50" w:firstLine="641" w:firstLineChars="200"/>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color w:val="000000" w:themeColor="text1"/>
                <w:sz w:val="21"/>
                <w:szCs w:val="21"/>
                <w:lang w:bidi="ar"/>
                <w14:textFill>
                  <w14:solidFill>
                    <w14:schemeClr w14:val="tx1"/>
                  </w14:solidFill>
                </w14:textFill>
              </w:rPr>
              <w:t> </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left"/>
              <w:textAlignment w:val="auto"/>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方正黑体简体" w:cs="Times New Roman"/>
                <w:color w:val="000000" w:themeColor="text1"/>
                <w:sz w:val="21"/>
                <w:szCs w:val="21"/>
                <w:lang w:val="en-US" w:eastAsia="zh-CN" w:bidi="ar"/>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right="-100" w:rightChars="-50" w:firstLine="641" w:firstLineChars="200"/>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年，太白湖新区市场监管局认真贯彻落实各项政务公开工作，规范公开目录，修订完善公开指南，但政务公开工作仍存在问题和不足。主动公开形式单一，投入不足。政策解读只在平面上，新媒体形式运用不足，主要原因是没有投入、认识不到位。下一步，将充分利用局办公室宣传力量形成多元、立体的信息呈现局面，以生动活泼，群众喜闻乐见，投送便捷高效的途径和形式开展政务信息公开工作，推动政务公开工作迈上新台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100" w:rightChars="-50" w:firstLine="641" w:firstLineChars="200"/>
        <w:jc w:val="left"/>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其他需要报告的事项</w:t>
      </w:r>
    </w:p>
    <w:p>
      <w:pPr>
        <w:pStyle w:val="2"/>
        <w:keepNext w:val="0"/>
        <w:keepLines w:val="0"/>
        <w:pageBreakBefore w:val="0"/>
        <w:widowControl w:val="0"/>
        <w:numPr>
          <w:ilvl w:val="0"/>
          <w:numId w:val="0"/>
        </w:numPr>
        <w:kinsoku/>
        <w:wordWrap/>
        <w:overflowPunct/>
        <w:topLinePunct w:val="0"/>
        <w:bidi w:val="0"/>
        <w:snapToGrid/>
        <w:spacing w:line="560" w:lineRule="exact"/>
        <w:ind w:firstLine="643" w:firstLineChars="200"/>
        <w:jc w:val="left"/>
        <w:textAlignment w:val="auto"/>
        <w:rPr>
          <w:rFonts w:hint="default" w:ascii="Times New Roman" w:hAnsi="Times New Roman" w:eastAsia="方正仿宋简体" w:cs="Times New Roman"/>
          <w:color w:val="000000" w:themeColor="text1"/>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一</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 xml:space="preserve"> 依据《政府信息公开信息处理费管理办法》收取信息处理费的情况需在此专门报告</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2023年度，</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本年度未收取信息处理费。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二</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）本行政机关落实上级年度政务公开工作要点情况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深入贯彻落实</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《2023年济宁太白湖新区管委会政务公开工作任务分解表》《济宁太白湖新区管委会2023年政务公开工作要点》，明确责任主体跟时限要求，逐项抓好落实，全部高标准完成。</w:t>
      </w:r>
    </w:p>
    <w:p>
      <w:pPr>
        <w:keepNext w:val="0"/>
        <w:keepLines w:val="0"/>
        <w:pageBreakBefore w:val="0"/>
        <w:widowControl w:val="0"/>
        <w:kinsoku/>
        <w:wordWrap/>
        <w:overflowPunct/>
        <w:topLinePunct w:val="0"/>
        <w:bidi w:val="0"/>
        <w:snapToGrid/>
        <w:spacing w:line="560" w:lineRule="exact"/>
        <w:ind w:right="-100" w:rightChars="-50" w:firstLine="643" w:firstLineChars="200"/>
        <w:jc w:val="left"/>
        <w:textAlignment w:val="auto"/>
        <w:outlineLvl w:val="2"/>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三</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 xml:space="preserve"> 本行政机关人大代表建议和政协提案办理结果公开情况</w:t>
      </w:r>
    </w:p>
    <w:p>
      <w:pPr>
        <w:pStyle w:val="3"/>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本年度无主办</w:t>
      </w:r>
      <w:r>
        <w:rPr>
          <w:rFonts w:hint="default" w:ascii="Times New Roman" w:hAnsi="Times New Roman" w:eastAsia="方正仿宋简体" w:cs="Times New Roman"/>
          <w:b/>
          <w:color w:val="000000" w:themeColor="text1"/>
          <w:spacing w:val="-11"/>
          <w:sz w:val="32"/>
          <w:szCs w:val="32"/>
          <w14:textFill>
            <w14:solidFill>
              <w14:schemeClr w14:val="tx1"/>
            </w14:solidFill>
          </w14:textFill>
        </w:rPr>
        <w:t>人大代表建议和政协提案</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四</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 xml:space="preserve"> 本行政机关年度政务公开工作创新情况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为丰富政务公开工作的形式种类，市场监管部门充分利用自身优势资源，不定期组织开展学校食堂开放日、食品安全快检进商超等活动，深入开展食品安全知识和法律法规科普进商超、进企业、进社区宣传活动，在群众中广泛开展“你点我检”等参与性强的活动，通过回应社会热点问题，让消费者切身感受到食品安全监管带来的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（五）</w:t>
      </w:r>
      <w:r>
        <w:rPr>
          <w:rFonts w:hint="default" w:ascii="Times New Roman" w:hAnsi="Times New Roman" w:eastAsia="方正仿宋简体" w:cs="Times New Roman"/>
          <w:b/>
          <w:color w:val="000000" w:themeColor="text1"/>
          <w:sz w:val="32"/>
          <w:szCs w:val="32"/>
          <w14:textFill>
            <w14:solidFill>
              <w14:schemeClr w14:val="tx1"/>
            </w14:solidFill>
          </w14:textFill>
        </w:rPr>
        <w:t>本行政机关政府信息公开工作年度报告数据统计需要说明的事项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jc w:val="left"/>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 xml:space="preserve">     无。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本行政机关认为需要报告的其他事项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cs="Times New Roman"/>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 xml:space="preserve"> 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100" w:rightChars="-50" w:firstLine="643" w:firstLineChars="200"/>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其他有关文件专门要求通过政府信息公开工作年度报告予以报告的事项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400" w:firstLineChars="200"/>
        <w:jc w:val="left"/>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cs="Times New Roman"/>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86DCFD1D-82E3-4DF5-9FDD-5476688E9893}"/>
  </w:font>
  <w:font w:name="方正仿宋简体">
    <w:panose1 w:val="03000509000000000000"/>
    <w:charset w:val="86"/>
    <w:family w:val="auto"/>
    <w:pitch w:val="default"/>
    <w:sig w:usb0="00000001" w:usb1="080E0000" w:usb2="00000000" w:usb3="00000000" w:csb0="00040000" w:csb1="00000000"/>
    <w:embedRegular r:id="rId2" w:fontKey="{9BC3375B-A5DE-4D44-828D-7212081B48CE}"/>
  </w:font>
  <w:font w:name="方正黑体简体">
    <w:panose1 w:val="02000000000000000000"/>
    <w:charset w:val="86"/>
    <w:family w:val="auto"/>
    <w:pitch w:val="default"/>
    <w:sig w:usb0="00000001" w:usb1="080E0000" w:usb2="00000000" w:usb3="00000000" w:csb0="00040000" w:csb1="00000000"/>
    <w:embedRegular r:id="rId3" w:fontKey="{0DA739EE-C71B-4868-BE4B-85EF4022D0FA}"/>
  </w:font>
  <w:font w:name="方正楷体简体">
    <w:panose1 w:val="03000509000000000000"/>
    <w:charset w:val="86"/>
    <w:family w:val="auto"/>
    <w:pitch w:val="default"/>
    <w:sig w:usb0="00000001" w:usb1="080E0000" w:usb2="00000000" w:usb3="00000000" w:csb0="00040000" w:csb1="00000000"/>
    <w:embedRegular r:id="rId4" w:fontKey="{2328DDB0-631C-4C3F-8478-65F848F4F1F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简体" w:hAnsi="方正仿宋简体" w:eastAsia="方正仿宋简体" w:cs="方正仿宋简体"/>
                              <w:b/>
                              <w:bCs/>
                              <w:sz w:val="28"/>
                              <w:szCs w:val="28"/>
                            </w:rPr>
                            <w:fldChar w:fldCharType="begin"/>
                          </w:r>
                          <w:r>
                            <w:rPr>
                              <w:rFonts w:hint="eastAsia" w:ascii="方正仿宋简体" w:hAnsi="方正仿宋简体" w:eastAsia="方正仿宋简体" w:cs="方正仿宋简体"/>
                              <w:b/>
                              <w:bCs/>
                              <w:sz w:val="28"/>
                              <w:szCs w:val="28"/>
                            </w:rPr>
                            <w:instrText xml:space="preserve"> PAGE  \* MERGEFORMAT </w:instrText>
                          </w:r>
                          <w:r>
                            <w:rPr>
                              <w:rFonts w:hint="eastAsia" w:ascii="方正仿宋简体" w:hAnsi="方正仿宋简体" w:eastAsia="方正仿宋简体" w:cs="方正仿宋简体"/>
                              <w:b/>
                              <w:bCs/>
                              <w:sz w:val="28"/>
                              <w:szCs w:val="28"/>
                            </w:rPr>
                            <w:fldChar w:fldCharType="separate"/>
                          </w:r>
                          <w:r>
                            <w:rPr>
                              <w:rFonts w:hint="eastAsia" w:ascii="方正仿宋简体" w:hAnsi="方正仿宋简体" w:eastAsia="方正仿宋简体" w:cs="方正仿宋简体"/>
                              <w:b/>
                              <w:bCs/>
                              <w:sz w:val="28"/>
                              <w:szCs w:val="28"/>
                            </w:rPr>
                            <w:t>1</w:t>
                          </w:r>
                          <w:r>
                            <w:rPr>
                              <w:rFonts w:hint="eastAsia" w:ascii="方正仿宋简体" w:hAnsi="方正仿宋简体" w:eastAsia="方正仿宋简体" w:cs="方正仿宋简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方正仿宋简体" w:hAnsi="方正仿宋简体" w:eastAsia="方正仿宋简体" w:cs="方正仿宋简体"/>
                        <w:b/>
                        <w:bCs/>
                        <w:sz w:val="28"/>
                        <w:szCs w:val="28"/>
                      </w:rPr>
                      <w:fldChar w:fldCharType="begin"/>
                    </w:r>
                    <w:r>
                      <w:rPr>
                        <w:rFonts w:hint="eastAsia" w:ascii="方正仿宋简体" w:hAnsi="方正仿宋简体" w:eastAsia="方正仿宋简体" w:cs="方正仿宋简体"/>
                        <w:b/>
                        <w:bCs/>
                        <w:sz w:val="28"/>
                        <w:szCs w:val="28"/>
                      </w:rPr>
                      <w:instrText xml:space="preserve"> PAGE  \* MERGEFORMAT </w:instrText>
                    </w:r>
                    <w:r>
                      <w:rPr>
                        <w:rFonts w:hint="eastAsia" w:ascii="方正仿宋简体" w:hAnsi="方正仿宋简体" w:eastAsia="方正仿宋简体" w:cs="方正仿宋简体"/>
                        <w:b/>
                        <w:bCs/>
                        <w:sz w:val="28"/>
                        <w:szCs w:val="28"/>
                      </w:rPr>
                      <w:fldChar w:fldCharType="separate"/>
                    </w:r>
                    <w:r>
                      <w:rPr>
                        <w:rFonts w:hint="eastAsia" w:ascii="方正仿宋简体" w:hAnsi="方正仿宋简体" w:eastAsia="方正仿宋简体" w:cs="方正仿宋简体"/>
                        <w:b/>
                        <w:bCs/>
                        <w:sz w:val="28"/>
                        <w:szCs w:val="28"/>
                      </w:rPr>
                      <w:t>1</w:t>
                    </w:r>
                    <w:r>
                      <w:rPr>
                        <w:rFonts w:hint="eastAsia" w:ascii="方正仿宋简体" w:hAnsi="方正仿宋简体" w:eastAsia="方正仿宋简体" w:cs="方正仿宋简体"/>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5663A"/>
    <w:multiLevelType w:val="singleLevel"/>
    <w:tmpl w:val="8AF5663A"/>
    <w:lvl w:ilvl="0" w:tentative="0">
      <w:start w:val="2"/>
      <w:numFmt w:val="chineseCounting"/>
      <w:suff w:val="nothing"/>
      <w:lvlText w:val="%1、"/>
      <w:lvlJc w:val="left"/>
      <w:rPr>
        <w:rFonts w:hint="eastAsia"/>
      </w:rPr>
    </w:lvl>
  </w:abstractNum>
  <w:abstractNum w:abstractNumId="1">
    <w:nsid w:val="B28F5591"/>
    <w:multiLevelType w:val="singleLevel"/>
    <w:tmpl w:val="B28F5591"/>
    <w:lvl w:ilvl="0" w:tentative="0">
      <w:start w:val="6"/>
      <w:numFmt w:val="chineseCounting"/>
      <w:suff w:val="nothing"/>
      <w:lvlText w:val="（%1）"/>
      <w:lvlJc w:val="left"/>
      <w:rPr>
        <w:rFonts w:hint="eastAsia"/>
      </w:rPr>
    </w:lvl>
  </w:abstractNum>
  <w:abstractNum w:abstractNumId="2">
    <w:nsid w:val="D28644EB"/>
    <w:multiLevelType w:val="singleLevel"/>
    <w:tmpl w:val="D28644EB"/>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TcyNjE5ZmI1ZWJmMjY3NDM1YTJkNWUzM2RiZjEifQ=="/>
    <w:docVar w:name="KSO_WPS_MARK_KEY" w:val="42e310f6-e192-417e-a4cb-072a88086665"/>
  </w:docVars>
  <w:rsids>
    <w:rsidRoot w:val="00000000"/>
    <w:rsid w:val="00C36B5B"/>
    <w:rsid w:val="025A60F2"/>
    <w:rsid w:val="04C106C5"/>
    <w:rsid w:val="052B3352"/>
    <w:rsid w:val="09E10052"/>
    <w:rsid w:val="0C583744"/>
    <w:rsid w:val="0D881F3F"/>
    <w:rsid w:val="17F279DA"/>
    <w:rsid w:val="18C47D9C"/>
    <w:rsid w:val="1C021A2B"/>
    <w:rsid w:val="1F581EEF"/>
    <w:rsid w:val="226338A3"/>
    <w:rsid w:val="22B83BEE"/>
    <w:rsid w:val="26BB3CAD"/>
    <w:rsid w:val="26E21D5E"/>
    <w:rsid w:val="2746633C"/>
    <w:rsid w:val="29D46C95"/>
    <w:rsid w:val="2A602E58"/>
    <w:rsid w:val="2C297DD1"/>
    <w:rsid w:val="2CC97ED5"/>
    <w:rsid w:val="2DB71AC0"/>
    <w:rsid w:val="2F196783"/>
    <w:rsid w:val="338D32F1"/>
    <w:rsid w:val="34873421"/>
    <w:rsid w:val="4373488E"/>
    <w:rsid w:val="43F03412"/>
    <w:rsid w:val="444C01E3"/>
    <w:rsid w:val="4884376F"/>
    <w:rsid w:val="4DED20EF"/>
    <w:rsid w:val="4FDF1F0B"/>
    <w:rsid w:val="50D2381E"/>
    <w:rsid w:val="51D26EE6"/>
    <w:rsid w:val="5311687F"/>
    <w:rsid w:val="54BF77C8"/>
    <w:rsid w:val="585A7287"/>
    <w:rsid w:val="5BFB3B88"/>
    <w:rsid w:val="680C5410"/>
    <w:rsid w:val="68BC7699"/>
    <w:rsid w:val="69C1637C"/>
    <w:rsid w:val="6E8A1DB3"/>
    <w:rsid w:val="72F5541E"/>
    <w:rsid w:val="74E00E8D"/>
    <w:rsid w:val="753F5076"/>
    <w:rsid w:val="787A2AB2"/>
    <w:rsid w:val="7B7F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paragraph" w:styleId="3">
    <w:name w:val="Normal Indent"/>
    <w:basedOn w:val="1"/>
    <w:autoRedefine/>
    <w:qFormat/>
    <w:uiPriority w:val="0"/>
    <w:pPr>
      <w:spacing w:line="360" w:lineRule="auto"/>
      <w:ind w:firstLine="420" w:firstLineChars="200"/>
    </w:pPr>
    <w:rPr>
      <w:rFonts w:ascii="Times New Roman" w:hAnsi="Times New Roman" w:eastAsia="宋体" w:cs="Times New Roman"/>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www.wps.cn/officeDocument/2018/webExtension" Target="webExtensions/webExtension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3946333864720385&quot;,&quot;chart_type&quot;:&quot;柱状图&quot;,&quot;classifty_type&quot;:[&quot;比较类&quot;],&quot;dataSrc&quot;:{&quot;data&quot;:[[[&quot;地区&quot;,&quot;销量&quot;],[&quot;行政执法公示&quot;,&quot;76&quot;],[&quot;食品药品监管及消费提醒&quot;,&quot;30&quot;],[&quot;“双随机一公开”监管&quot;,&quot;9&quot;],[&quot;财政预决算信息&quot;,&quot;2&quot;],[&quot;政策解读&quot;,&quot;1&quot;],[&quot;机构职能&quot;,&quot;1&quot;],[&quot;产品质量抽检公示&quot;,&quot;1&quot;],[&quot;政务信息公开年报&quot;,&quot;1&quot;]]],&quot;dataType&quot;:&quot;obejct-table&quot;,&quot;download&quot;:false,&quot;srcType&quot;:&quot;local&quot;,&quot;url&quot;:&quot;&quot;},&quot;function_type&quot;:[&quot;柱形图&quot;],&quot;gif&quot;:&quot;https://image.dycharts.com/444734748594536323.gif?imageView2/2/w/500/quality/90&quot;,&quot;isFree&quot;:&quot;0&quot;,&quot;label&quot;:&quot;&lt;e-barbasic-chart&gt;&quot;,&quot;position&quot;:{&quot;left&quot;:0,&quot;top&quot;:0},&quot;price&quot;:0,&quot;projectId&quot;:&quot;164784560082398152&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none&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false,&quot;labelSuffix&quot;:&quot;&quot;,&quot;name&quot;:&quot;&quot;,&quot;range&quot;:[],&quot;stepOfLabel&quot;:&quot;&quot;}},&quot;backgroundColor&quot;:&quot;#F9FAFB&quot;,&quot;colors&quot;:{&quot;colorControlers&quot;:[&quot;single&quot;,&quot;multiple&quot;,&quot;linear&quot;],&quot;list&quot;:[0],&quot;type&quot;:&quot;multiple&quot;},&quot;display&quot;:{&quot;bar4CornerRadius&quot;:[5,5,5,5],&quot;barWidthPercent&quot;:&quot;0.5&quot;,&quot;barborderColor&quot;:&quot;&quot;,&quot;barborderWidth&quot;:&quot;0&quot;,&quot;fillOpacity&quot;:&quot;1&quot;},&quot;font&quot;:{&quot;color&quot;:&quot;#545454&quot;,&quot;fontFamily&quot;:&quot;阿里巴巴普惠体常规&quot;,&quot;fontSize&quot;:&quot;14&quot;},&quot;label&quot;:{&quot;display&quot;:true,&quot;positionChoice&quot;:&quot;上面&quot;,&quot;positionOptions&quot;:[&quot;上面&quot;,&quot;内部居下&quot;],&quot;suffix&quot;:&quot;&quot;,&quot;textLabel&quot;:{&quot;color&quot;:&quot;#333333ff&quot;,&quot;fontFamily&quot;:&quot;站酷快乐体2016修订版&quot;,&quot;fontSize&quot;:&quot;14&quot;}},&quot;legend&quot;:{&quot;color&quot;:[&quot;#545454&quot;],&quot;fontFamily&quot;:[&quot;阿里巴巴普惠体常规&quot;],&quot;fontSize&quot;:&quot;14&quot;,&quot;lineHeight&quot;:&quot;15&quot;,&quot;show&quot;:fals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427.1317829457364,&quot;ratio&quot;:&quot;&quot;,&quot;rotate&quot;:0,&quot;width&quot;:646.5116279069767},&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阿里巴巴普惠体常规&quot;,&quot;fontSize&quot;:&quot;14&quot;,&quot;show&quot;:false,&quot;text&quot;:&quot;单位：万元&quot;,&quot;xPosition&quot;:&quot;left&quot;,&quot;yPosition&quot;:&quot;top&quot;},&quot;watermarkDisplay&quot;:{&quot;imgHeight&quot;:&quot;80&quot;,&quot;imgUrl&quot;:&quot;https://ss1.dycharts.com/newchartWatermark.png&quot;,&quot;imgWidth&quot;:&quot;80&quot;,&quot;show&quot;:false}},&quot;templateId&quot;:&quot;444734748594536323-3&quot;,&quot;templateSwitch&quot;:&quot;cross&quot;,&quot;theme&quot;:{&quot;_id&quot;:46,&quot;axis&quot;:{&quot;color&quot;:&quot;#a1a1a1&quot;},&quot;backgroundColor&quot;:&quot;#F9FAFB&quot;,&quot;card_color&quot;:&quot;#E8EEF2&quot;,&quot;colors&quot;:[&quot;#2B4663&quot;,&quot;#5C7885&quot;,&quot;#94ACBC&quot;,&quot;#B9CAE1&quot;,&quot;#97ABBD&quot;,&quot;#3B606F&quot;,&quot;#2B4663&quot;,&quot;#5C7885&quot;,&quot;#94ACBC&quot;,&quot;#B9CAE1&quot;,&quot;#97ABBD&quot;,&quot;#3B606F&quot;,&quot;#97ABBD&quot;,&quot;#3B606F&quot;],&quot;fonts&quot;:{&quot;accessoryColor&quot;:&quot;#878787&quot;,&quot;color&quot;:&quot;#545454&quot;,&quot;fontFamily&quot;:&quot;阿里巴巴普惠体常规&quot;,&quot;fontSize&quot;:&quot;14&quot;},&quot;grid&quot;:{&quot;color&quot;:&quot;#ccc&quot;},&quot;name&quot;:&quot;高级蓝灰&quot;,&quot;price&quot;:3,&quot;shapeColor&quot;:1,&quot;themeId&quot;:46,&quot;thumb&quot;:&quot;https://ss1.dydata.io/v2/themes/46.png&quot;,&quot;titleFont&quot;:{&quot;color&quot;:&quot;#4c4c4c&quot;,&quot;fontFamily&quot;:&quot;阿里巴巴普惠体 常规&quot;,&quot;fontSize&quot;:&quot;36&quot;},&quot;typeColor&quot;:{&quot;name&quot;:[&quot;蓝色&quot;],&quot;num&quot;:[&quot;1&quot;]},&quot;typeStyle&quot;:{&quot;name&quot;:[&quot;中国风&quot;],&quot;num&quot;:[&quot;1&quot;]},&quot;typeSystem&quot;:{&quot;name&quot;:[&quot;浅色系&quot;,&quot;单色系&quot;],&quot;num&quot;:[&quot;1&quot;,&quot;1&quot;]}},&quot;thumb&quot;:&quot;//web.docer.wpscdn.cn/docer/ds-page/v2/images/444734748594536323-3.png&quot;,&quot;title&quot;:&quot;基础柱状图&quot;,&quot;type&quot;:&quot;chart&quot;},&quot;dschart_id&quot;:&quot;444734748594536323-3&quot;,&quot;flag&quot;:&quot;1001&quot;,&quot;page&quot;:&quot;editor&quot;}"/>
    <wpswe:property key="isUseCommonErrorPage" value="false"/>
    <wpswe:property key="loadingImage" value="res:/icons/DsWebShapeDefaultPage.svg"/>
  </wpswe:properties>
  <wpswe:watchingCache>
    <wpswe:linkPath>C:/Users/Administrator/AppData/Local/Temp/wps.PjolCl/Workbook1.xlsx</wpswe:linkPath>
  </wpswe:watchingCache>
  <wpswe:snapshot xmlns:r="http://schemas.openxmlformats.org/officeDocument/2006/relationships" r:embed="rId2"/>
  <wpswe:externalData xmlns:r="http://schemas.openxmlformats.org/officeDocument/2006/relationships" r:id="rId1"/>
  <wpswe:url>https://clientweb.docer.wps.cn//docer-ds/web-shape-1.0.0/?id=69&amp;dschart_id=444734748594536323-3&amp;from=chartwins&amp;productEntry=insert&amp;sceneEntry=rec</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2918</Words>
  <Characters>3027</Characters>
  <Lines>0</Lines>
  <Paragraphs>0</Paragraphs>
  <TotalTime>77</TotalTime>
  <ScaleCrop>false</ScaleCrop>
  <LinksUpToDate>false</LinksUpToDate>
  <CharactersWithSpaces>3051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2023-02-02T16:00:00Z</dcterms:created>
  <dc:creator>86153</dc:creator>
  <cp:lastModifiedBy>still shines</cp:lastModifiedBy>
  <dcterms:modified xsi:type="dcterms:W3CDTF">2024-03-18T08:02:19Z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74BF5137FB2140509FEB767A39BFCD70</vt:lpwstr>
  </property>
</Properties>
</file>