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pPr>
      <w:r>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t>太白湖新区政法委员会（党群工作部）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rPr>
      </w:pPr>
      <w:r>
        <w:rPr>
          <w:rFonts w:hint="eastAsia" w:ascii="方正小标宋简体" w:hAnsi="方正小标宋简体" w:eastAsia="方正小标宋简体" w:cs="方正小标宋简体"/>
          <w:b/>
          <w:bCs w:val="0"/>
          <w:i w:val="0"/>
          <w:caps w:val="0"/>
          <w:color w:val="333333"/>
          <w:spacing w:val="-17"/>
          <w:sz w:val="44"/>
          <w:szCs w:val="44"/>
          <w:shd w:val="clear" w:fill="FFFFFF"/>
          <w:lang w:val="en-US" w:eastAsia="zh-CN"/>
        </w:rPr>
        <w:t>2022年</w:t>
      </w:r>
      <w:r>
        <w:rPr>
          <w:rFonts w:hint="eastAsia" w:ascii="方正小标宋简体" w:hAnsi="方正小标宋简体" w:eastAsia="方正小标宋简体" w:cs="方正小标宋简体"/>
          <w:b/>
          <w:bCs w:val="0"/>
          <w:i w:val="0"/>
          <w:caps w:val="0"/>
          <w:color w:val="333333"/>
          <w:spacing w:val="-17"/>
          <w:sz w:val="44"/>
          <w:szCs w:val="44"/>
          <w:shd w:val="clear" w:fill="FFFFFF"/>
        </w:rPr>
        <w:t>政府信息公开工作</w:t>
      </w:r>
      <w:r>
        <w:rPr>
          <w:rFonts w:hint="eastAsia" w:ascii="方正小标宋简体" w:hAnsi="方正小标宋简体" w:eastAsia="方正小标宋简体" w:cs="方正小标宋简体"/>
          <w:b/>
          <w:bCs w:val="0"/>
          <w:i w:val="0"/>
          <w:caps w:val="0"/>
          <w:color w:val="333333"/>
          <w:spacing w:val="0"/>
          <w:sz w:val="44"/>
          <w:szCs w:val="44"/>
          <w:shd w:val="clear" w:fill="FFFFFF"/>
        </w:rPr>
        <w:t>年度报告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5"/>
        <w:keepNext w:val="0"/>
        <w:keepLines w:val="0"/>
        <w:widowControl/>
        <w:suppressLineNumbers w:val="0"/>
        <w:spacing w:before="0" w:beforeAutospacing="0" w:after="0" w:afterAutospacing="0" w:line="600" w:lineRule="atLeast"/>
        <w:ind w:left="0" w:right="0" w:firstLine="645"/>
        <w:rPr>
          <w:rFonts w:ascii="sans-serif" w:hAnsi="sans-serif" w:eastAsia="sans-serif" w:cs="sans-serif"/>
          <w:i w:val="0"/>
          <w:iCs w:val="0"/>
          <w:caps w:val="0"/>
          <w:color w:val="000000"/>
          <w:spacing w:val="0"/>
          <w:sz w:val="27"/>
          <w:szCs w:val="27"/>
        </w:rPr>
      </w:pPr>
      <w:r>
        <w:rPr>
          <w:rStyle w:val="8"/>
          <w:rFonts w:hint="eastAsia" w:ascii="方正仿宋简体" w:hAnsi="方正仿宋简体" w:eastAsia="方正仿宋简体" w:cs="方正仿宋简体"/>
          <w:i w:val="0"/>
          <w:iCs w:val="0"/>
          <w:caps w:val="0"/>
          <w:color w:val="000000"/>
          <w:spacing w:val="0"/>
          <w:sz w:val="31"/>
          <w:szCs w:val="31"/>
          <w:lang w:eastAsia="zh-CN"/>
        </w:rPr>
        <w:t>本报告由</w:t>
      </w:r>
      <w:r>
        <w:rPr>
          <w:rStyle w:val="8"/>
          <w:rFonts w:ascii="方正仿宋简体" w:hAnsi="方正仿宋简体" w:eastAsia="方正仿宋简体" w:cs="方正仿宋简体"/>
          <w:i w:val="0"/>
          <w:iCs w:val="0"/>
          <w:caps w:val="0"/>
          <w:color w:val="000000"/>
          <w:spacing w:val="0"/>
          <w:sz w:val="31"/>
          <w:szCs w:val="31"/>
        </w:rPr>
        <w:t>区政法委员会（党群工作部）</w:t>
      </w:r>
      <w:r>
        <w:rPr>
          <w:rStyle w:val="8"/>
          <w:rFonts w:hint="eastAsia" w:ascii="方正仿宋简体" w:hAnsi="方正仿宋简体" w:eastAsia="方正仿宋简体" w:cs="方正仿宋简体"/>
          <w:i w:val="0"/>
          <w:iCs w:val="0"/>
          <w:caps w:val="0"/>
          <w:color w:val="000000"/>
          <w:spacing w:val="0"/>
          <w:sz w:val="31"/>
          <w:szCs w:val="31"/>
        </w:rPr>
        <w:t>按照《中华人民共和国政府信息公开条例》（以下简称《条例》）和《中华人民共和国政府信息公开工作年度报告格式》（国办公开办函〔</w:t>
      </w:r>
      <w:r>
        <w:rPr>
          <w:rStyle w:val="8"/>
          <w:rFonts w:hint="default" w:ascii="Times New Roman" w:hAnsi="Times New Roman" w:eastAsia="sans-serif" w:cs="Times New Roman"/>
          <w:i w:val="0"/>
          <w:iCs w:val="0"/>
          <w:caps w:val="0"/>
          <w:color w:val="000000"/>
          <w:spacing w:val="0"/>
          <w:sz w:val="31"/>
          <w:szCs w:val="31"/>
        </w:rPr>
        <w:t>2021</w:t>
      </w:r>
      <w:r>
        <w:rPr>
          <w:rStyle w:val="8"/>
          <w:rFonts w:hint="eastAsia" w:ascii="方正仿宋简体" w:hAnsi="方正仿宋简体" w:eastAsia="方正仿宋简体" w:cs="方正仿宋简体"/>
          <w:i w:val="0"/>
          <w:iCs w:val="0"/>
          <w:caps w:val="0"/>
          <w:color w:val="000000"/>
          <w:spacing w:val="0"/>
          <w:sz w:val="31"/>
          <w:szCs w:val="31"/>
        </w:rPr>
        <w:t>〕</w:t>
      </w:r>
      <w:r>
        <w:rPr>
          <w:rStyle w:val="8"/>
          <w:rFonts w:hint="default" w:ascii="Times New Roman" w:hAnsi="Times New Roman" w:eastAsia="sans-serif" w:cs="Times New Roman"/>
          <w:i w:val="0"/>
          <w:iCs w:val="0"/>
          <w:caps w:val="0"/>
          <w:color w:val="000000"/>
          <w:spacing w:val="0"/>
          <w:sz w:val="31"/>
          <w:szCs w:val="31"/>
        </w:rPr>
        <w:t>30</w:t>
      </w:r>
      <w:r>
        <w:rPr>
          <w:rStyle w:val="8"/>
          <w:rFonts w:hint="eastAsia" w:ascii="方正仿宋简体" w:hAnsi="方正仿宋简体" w:eastAsia="方正仿宋简体" w:cs="方正仿宋简体"/>
          <w:i w:val="0"/>
          <w:iCs w:val="0"/>
          <w:caps w:val="0"/>
          <w:color w:val="000000"/>
          <w:spacing w:val="0"/>
          <w:sz w:val="31"/>
          <w:szCs w:val="31"/>
        </w:rPr>
        <w:t>号）要求编制。</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8"/>
          <w:rFonts w:hint="eastAsia" w:ascii="方正仿宋简体" w:hAnsi="方正仿宋简体" w:eastAsia="方正仿宋简体" w:cs="方正仿宋简体"/>
          <w:i w:val="0"/>
          <w:iCs w:val="0"/>
          <w:caps w:val="0"/>
          <w:color w:val="000000"/>
          <w:spacing w:val="0"/>
          <w:sz w:val="31"/>
          <w:szCs w:val="31"/>
          <w:lang w:eastAsia="zh-CN"/>
        </w:rPr>
        <w:t>本报告</w:t>
      </w:r>
      <w:r>
        <w:rPr>
          <w:rStyle w:val="8"/>
          <w:rFonts w:hint="eastAsia" w:ascii="方正仿宋简体" w:hAnsi="方正仿宋简体" w:eastAsia="方正仿宋简体" w:cs="方正仿宋简体"/>
          <w:i w:val="0"/>
          <w:iCs w:val="0"/>
          <w:caps w:val="0"/>
          <w:color w:val="000000"/>
          <w:spacing w:val="0"/>
          <w:sz w:val="31"/>
          <w:szCs w:val="31"/>
        </w:rPr>
        <w:t>内容包括总体情况、主动公开政府信息情况、收到和处理政府信息公开申请情况、政府信息公开行政复议和行政诉讼情况、存在的主要问题及改进情况、其他需要报告的事项等六部分内容。</w:t>
      </w:r>
    </w:p>
    <w:p>
      <w:pPr>
        <w:pStyle w:val="5"/>
        <w:keepNext w:val="0"/>
        <w:keepLines w:val="0"/>
        <w:widowControl/>
        <w:suppressLineNumbers w:val="0"/>
        <w:spacing w:before="0" w:beforeAutospacing="0" w:after="0" w:afterAutospacing="0" w:line="600" w:lineRule="atLeast"/>
        <w:ind w:left="0" w:right="0" w:firstLine="645"/>
        <w:rPr>
          <w:rFonts w:hint="eastAsia" w:ascii="方正公文黑体" w:hAnsi="方正公文黑体" w:eastAsia="方正公文黑体" w:cs="方正公文黑体"/>
          <w:b/>
          <w:i w:val="0"/>
          <w:caps w:val="0"/>
          <w:color w:val="333333"/>
          <w:spacing w:val="0"/>
          <w:sz w:val="32"/>
          <w:szCs w:val="32"/>
          <w:shd w:val="clear" w:fill="FFFFFF"/>
        </w:rPr>
      </w:pPr>
      <w:r>
        <w:rPr>
          <w:rStyle w:val="8"/>
          <w:rFonts w:hint="eastAsia" w:ascii="方正仿宋简体" w:hAnsi="方正仿宋简体" w:eastAsia="方正仿宋简体" w:cs="方正仿宋简体"/>
          <w:i w:val="0"/>
          <w:iCs w:val="0"/>
          <w:caps w:val="0"/>
          <w:color w:val="000000"/>
          <w:spacing w:val="0"/>
          <w:sz w:val="31"/>
          <w:szCs w:val="31"/>
          <w:lang w:eastAsia="zh-CN"/>
        </w:rPr>
        <w:t>本报告</w:t>
      </w:r>
      <w:r>
        <w:rPr>
          <w:rStyle w:val="8"/>
          <w:rFonts w:hint="eastAsia" w:ascii="方正仿宋简体" w:hAnsi="方正仿宋简体" w:eastAsia="方正仿宋简体" w:cs="方正仿宋简体"/>
          <w:i w:val="0"/>
          <w:iCs w:val="0"/>
          <w:caps w:val="0"/>
          <w:color w:val="000000"/>
          <w:spacing w:val="0"/>
          <w:sz w:val="31"/>
          <w:szCs w:val="31"/>
        </w:rPr>
        <w:t>所列数据的统计期限自</w:t>
      </w:r>
      <w:r>
        <w:rPr>
          <w:rStyle w:val="8"/>
          <w:rFonts w:hint="default" w:ascii="Times New Roman" w:hAnsi="Times New Roman" w:eastAsia="sans-serif" w:cs="Times New Roman"/>
          <w:i w:val="0"/>
          <w:iCs w:val="0"/>
          <w:caps w:val="0"/>
          <w:color w:val="000000"/>
          <w:spacing w:val="0"/>
          <w:sz w:val="31"/>
          <w:szCs w:val="31"/>
        </w:rPr>
        <w:t>202</w:t>
      </w:r>
      <w:r>
        <w:rPr>
          <w:rStyle w:val="8"/>
          <w:rFonts w:hint="eastAsia" w:ascii="Times New Roman" w:hAnsi="Times New Roman" w:eastAsia="宋体" w:cs="Times New Roman"/>
          <w:i w:val="0"/>
          <w:iCs w:val="0"/>
          <w:caps w:val="0"/>
          <w:color w:val="000000"/>
          <w:spacing w:val="0"/>
          <w:sz w:val="31"/>
          <w:szCs w:val="31"/>
          <w:lang w:val="en-US" w:eastAsia="zh-CN"/>
        </w:rPr>
        <w:t>2</w:t>
      </w:r>
      <w:r>
        <w:rPr>
          <w:rStyle w:val="8"/>
          <w:rFonts w:hint="eastAsia" w:ascii="方正仿宋简体" w:hAnsi="方正仿宋简体" w:eastAsia="方正仿宋简体" w:cs="方正仿宋简体"/>
          <w:i w:val="0"/>
          <w:iCs w:val="0"/>
          <w:caps w:val="0"/>
          <w:color w:val="000000"/>
          <w:spacing w:val="0"/>
          <w:sz w:val="31"/>
          <w:szCs w:val="31"/>
        </w:rPr>
        <w:t>年</w:t>
      </w:r>
      <w:r>
        <w:rPr>
          <w:rStyle w:val="8"/>
          <w:rFonts w:hint="default" w:ascii="Times New Roman" w:hAnsi="Times New Roman" w:eastAsia="sans-serif" w:cs="Times New Roman"/>
          <w:i w:val="0"/>
          <w:iCs w:val="0"/>
          <w:caps w:val="0"/>
          <w:color w:val="000000"/>
          <w:spacing w:val="0"/>
          <w:sz w:val="31"/>
          <w:szCs w:val="31"/>
        </w:rPr>
        <w:t>1</w:t>
      </w:r>
      <w:r>
        <w:rPr>
          <w:rStyle w:val="8"/>
          <w:rFonts w:hint="eastAsia" w:ascii="方正仿宋简体" w:hAnsi="方正仿宋简体" w:eastAsia="方正仿宋简体" w:cs="方正仿宋简体"/>
          <w:i w:val="0"/>
          <w:iCs w:val="0"/>
          <w:caps w:val="0"/>
          <w:color w:val="000000"/>
          <w:spacing w:val="0"/>
          <w:sz w:val="31"/>
          <w:szCs w:val="31"/>
        </w:rPr>
        <w:t>月</w:t>
      </w:r>
      <w:r>
        <w:rPr>
          <w:rStyle w:val="8"/>
          <w:rFonts w:hint="default" w:ascii="Times New Roman" w:hAnsi="Times New Roman" w:eastAsia="sans-serif" w:cs="Times New Roman"/>
          <w:i w:val="0"/>
          <w:iCs w:val="0"/>
          <w:caps w:val="0"/>
          <w:color w:val="000000"/>
          <w:spacing w:val="0"/>
          <w:sz w:val="31"/>
          <w:szCs w:val="31"/>
        </w:rPr>
        <w:t>1</w:t>
      </w:r>
      <w:r>
        <w:rPr>
          <w:rStyle w:val="8"/>
          <w:rFonts w:hint="eastAsia" w:ascii="方正仿宋简体" w:hAnsi="方正仿宋简体" w:eastAsia="方正仿宋简体" w:cs="方正仿宋简体"/>
          <w:i w:val="0"/>
          <w:iCs w:val="0"/>
          <w:caps w:val="0"/>
          <w:color w:val="000000"/>
          <w:spacing w:val="0"/>
          <w:sz w:val="31"/>
          <w:szCs w:val="31"/>
        </w:rPr>
        <w:t>日起至</w:t>
      </w:r>
      <w:r>
        <w:rPr>
          <w:rStyle w:val="8"/>
          <w:rFonts w:hint="default" w:ascii="Times New Roman" w:hAnsi="Times New Roman" w:eastAsia="sans-serif" w:cs="Times New Roman"/>
          <w:i w:val="0"/>
          <w:iCs w:val="0"/>
          <w:caps w:val="0"/>
          <w:color w:val="000000"/>
          <w:spacing w:val="0"/>
          <w:sz w:val="31"/>
          <w:szCs w:val="31"/>
        </w:rPr>
        <w:t>202</w:t>
      </w:r>
      <w:r>
        <w:rPr>
          <w:rStyle w:val="8"/>
          <w:rFonts w:hint="eastAsia" w:ascii="Times New Roman" w:hAnsi="Times New Roman" w:eastAsia="宋体" w:cs="Times New Roman"/>
          <w:i w:val="0"/>
          <w:iCs w:val="0"/>
          <w:caps w:val="0"/>
          <w:color w:val="000000"/>
          <w:spacing w:val="0"/>
          <w:sz w:val="31"/>
          <w:szCs w:val="31"/>
          <w:lang w:val="en-US" w:eastAsia="zh-CN"/>
        </w:rPr>
        <w:t>2</w:t>
      </w:r>
      <w:r>
        <w:rPr>
          <w:rStyle w:val="8"/>
          <w:rFonts w:hint="eastAsia" w:ascii="方正仿宋简体" w:hAnsi="方正仿宋简体" w:eastAsia="方正仿宋简体" w:cs="方正仿宋简体"/>
          <w:i w:val="0"/>
          <w:iCs w:val="0"/>
          <w:caps w:val="0"/>
          <w:color w:val="000000"/>
          <w:spacing w:val="0"/>
          <w:sz w:val="31"/>
          <w:szCs w:val="31"/>
        </w:rPr>
        <w:t>年</w:t>
      </w:r>
      <w:r>
        <w:rPr>
          <w:rStyle w:val="8"/>
          <w:rFonts w:hint="default" w:ascii="Times New Roman" w:hAnsi="Times New Roman" w:eastAsia="sans-serif" w:cs="Times New Roman"/>
          <w:i w:val="0"/>
          <w:iCs w:val="0"/>
          <w:caps w:val="0"/>
          <w:color w:val="000000"/>
          <w:spacing w:val="0"/>
          <w:sz w:val="31"/>
          <w:szCs w:val="31"/>
        </w:rPr>
        <w:t>12</w:t>
      </w:r>
      <w:r>
        <w:rPr>
          <w:rStyle w:val="8"/>
          <w:rFonts w:hint="eastAsia" w:ascii="方正仿宋简体" w:hAnsi="方正仿宋简体" w:eastAsia="方正仿宋简体" w:cs="方正仿宋简体"/>
          <w:i w:val="0"/>
          <w:iCs w:val="0"/>
          <w:caps w:val="0"/>
          <w:color w:val="000000"/>
          <w:spacing w:val="0"/>
          <w:sz w:val="31"/>
          <w:szCs w:val="31"/>
        </w:rPr>
        <w:t>月</w:t>
      </w:r>
      <w:r>
        <w:rPr>
          <w:rStyle w:val="8"/>
          <w:rFonts w:hint="default" w:ascii="Times New Roman" w:hAnsi="Times New Roman" w:eastAsia="sans-serif" w:cs="Times New Roman"/>
          <w:i w:val="0"/>
          <w:iCs w:val="0"/>
          <w:caps w:val="0"/>
          <w:color w:val="000000"/>
          <w:spacing w:val="0"/>
          <w:sz w:val="31"/>
          <w:szCs w:val="31"/>
        </w:rPr>
        <w:t>31</w:t>
      </w:r>
      <w:r>
        <w:rPr>
          <w:rStyle w:val="8"/>
          <w:rFonts w:hint="eastAsia" w:ascii="方正仿宋简体" w:hAnsi="方正仿宋简体" w:eastAsia="方正仿宋简体" w:cs="方正仿宋简体"/>
          <w:i w:val="0"/>
          <w:iCs w:val="0"/>
          <w:caps w:val="0"/>
          <w:color w:val="000000"/>
          <w:spacing w:val="0"/>
          <w:sz w:val="31"/>
          <w:szCs w:val="31"/>
        </w:rPr>
        <w:t>日止。本报告电子版可在“中国·济宁”政府门户网站（http://bhdjq.jining.gov.cn/）查阅或下载</w:t>
      </w:r>
      <w:r>
        <w:rPr>
          <w:rStyle w:val="8"/>
          <w:rFonts w:hint="eastAsia" w:ascii="方正仿宋简体" w:hAnsi="方正仿宋简体" w:eastAsia="方正仿宋简体" w:cs="方正仿宋简体"/>
          <w:i w:val="0"/>
          <w:iCs w:val="0"/>
          <w:caps w:val="0"/>
          <w:color w:val="000000"/>
          <w:spacing w:val="0"/>
          <w:sz w:val="31"/>
          <w:szCs w:val="31"/>
          <w:lang w:eastAsia="zh-CN"/>
        </w:rPr>
        <w:t>。</w:t>
      </w:r>
      <w:r>
        <w:rPr>
          <w:rStyle w:val="8"/>
          <w:rFonts w:hint="eastAsia" w:ascii="方正仿宋简体" w:hAnsi="方正仿宋简体" w:eastAsia="方正仿宋简体" w:cs="方正仿宋简体"/>
          <w:i w:val="0"/>
          <w:iCs w:val="0"/>
          <w:caps w:val="0"/>
          <w:color w:val="000000"/>
          <w:spacing w:val="0"/>
          <w:sz w:val="31"/>
          <w:szCs w:val="31"/>
        </w:rPr>
        <w:t>如对本报告有疑问，请与区政法委（党群工作部）综合科联系（地址：新城发展</w:t>
      </w:r>
      <w:r>
        <w:rPr>
          <w:rStyle w:val="8"/>
          <w:rFonts w:hint="default" w:ascii="Times New Roman" w:hAnsi="Times New Roman" w:eastAsia="sans-serif" w:cs="Times New Roman"/>
          <w:i w:val="0"/>
          <w:iCs w:val="0"/>
          <w:caps w:val="0"/>
          <w:color w:val="000000"/>
          <w:spacing w:val="0"/>
          <w:sz w:val="31"/>
          <w:szCs w:val="31"/>
        </w:rPr>
        <w:t>A</w:t>
      </w:r>
      <w:r>
        <w:rPr>
          <w:rStyle w:val="8"/>
          <w:rFonts w:hint="eastAsia" w:ascii="方正仿宋简体" w:hAnsi="方正仿宋简体" w:eastAsia="方正仿宋简体" w:cs="方正仿宋简体"/>
          <w:i w:val="0"/>
          <w:iCs w:val="0"/>
          <w:caps w:val="0"/>
          <w:color w:val="000000"/>
          <w:spacing w:val="0"/>
          <w:sz w:val="31"/>
          <w:szCs w:val="31"/>
        </w:rPr>
        <w:t>座</w:t>
      </w:r>
      <w:r>
        <w:rPr>
          <w:rStyle w:val="8"/>
          <w:rFonts w:hint="default" w:ascii="Times New Roman" w:hAnsi="Times New Roman" w:eastAsia="sans-serif" w:cs="Times New Roman"/>
          <w:i w:val="0"/>
          <w:iCs w:val="0"/>
          <w:caps w:val="0"/>
          <w:color w:val="000000"/>
          <w:spacing w:val="0"/>
          <w:sz w:val="31"/>
          <w:szCs w:val="31"/>
        </w:rPr>
        <w:t>1005</w:t>
      </w:r>
      <w:r>
        <w:rPr>
          <w:rStyle w:val="8"/>
          <w:rFonts w:hint="eastAsia" w:ascii="方正仿宋简体" w:hAnsi="方正仿宋简体" w:eastAsia="方正仿宋简体" w:cs="方正仿宋简体"/>
          <w:i w:val="0"/>
          <w:iCs w:val="0"/>
          <w:caps w:val="0"/>
          <w:color w:val="000000"/>
          <w:spacing w:val="0"/>
          <w:sz w:val="31"/>
          <w:szCs w:val="31"/>
        </w:rPr>
        <w:t>室，联系电话：</w:t>
      </w:r>
      <w:r>
        <w:rPr>
          <w:rStyle w:val="8"/>
          <w:rFonts w:hint="default" w:ascii="Times New Roman" w:hAnsi="Times New Roman" w:eastAsia="sans-serif" w:cs="Times New Roman"/>
          <w:i w:val="0"/>
          <w:iCs w:val="0"/>
          <w:caps w:val="0"/>
          <w:color w:val="000000"/>
          <w:spacing w:val="0"/>
          <w:sz w:val="31"/>
          <w:szCs w:val="31"/>
        </w:rPr>
        <w:t>0537-6537056</w:t>
      </w:r>
      <w:r>
        <w:rPr>
          <w:rStyle w:val="8"/>
          <w:rFonts w:hint="eastAsia" w:ascii="方正仿宋简体" w:hAnsi="方正仿宋简体" w:eastAsia="方正仿宋简体" w:cs="方正仿宋简体"/>
          <w:i w:val="0"/>
          <w:iCs w:val="0"/>
          <w:caps w:val="0"/>
          <w:color w:val="000000"/>
          <w:spacing w:val="0"/>
          <w:sz w:val="31"/>
          <w:szCs w:val="31"/>
        </w:rPr>
        <w:t>）。</w:t>
      </w:r>
    </w:p>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一、总体情况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lang w:val="en-US" w:eastAsia="zh-CN"/>
        </w:rPr>
        <w:t>2022年区政法委员会（党群工作部）</w:t>
      </w:r>
      <w:r>
        <w:rPr>
          <w:rFonts w:hint="default" w:ascii="Times New Roman" w:hAnsi="Times New Roman" w:eastAsia="方正仿宋简体" w:cs="Times New Roman"/>
          <w:b/>
          <w:color w:val="000000"/>
          <w:kern w:val="0"/>
          <w:sz w:val="32"/>
          <w:szCs w:val="32"/>
        </w:rPr>
        <w:t>认真执行《中华人民共和国政府信息公开条例》（以下简称《条例》）</w:t>
      </w:r>
      <w:r>
        <w:rPr>
          <w:rFonts w:hint="default" w:ascii="Times New Roman" w:hAnsi="Times New Roman" w:eastAsia="方正仿宋简体" w:cs="Times New Roman"/>
          <w:b/>
          <w:color w:val="000000"/>
          <w:kern w:val="0"/>
          <w:sz w:val="32"/>
          <w:szCs w:val="32"/>
          <w:lang w:eastAsia="zh-CN"/>
        </w:rPr>
        <w:t>要求</w:t>
      </w:r>
      <w:r>
        <w:rPr>
          <w:rFonts w:hint="default" w:ascii="Times New Roman" w:hAnsi="Times New Roman" w:eastAsia="方正仿宋简体" w:cs="Times New Roman"/>
          <w:b/>
          <w:color w:val="000000"/>
          <w:kern w:val="0"/>
          <w:sz w:val="32"/>
          <w:szCs w:val="32"/>
        </w:rPr>
        <w:t>，</w:t>
      </w:r>
      <w:r>
        <w:rPr>
          <w:rFonts w:hint="default" w:ascii="Times New Roman" w:hAnsi="Times New Roman" w:eastAsia="方正仿宋简体" w:cs="Times New Roman"/>
          <w:b/>
          <w:color w:val="000000"/>
          <w:kern w:val="0"/>
          <w:sz w:val="32"/>
          <w:szCs w:val="32"/>
          <w:lang w:eastAsia="zh-CN"/>
        </w:rPr>
        <w:t>紧扣</w:t>
      </w:r>
      <w:r>
        <w:rPr>
          <w:rFonts w:hint="default" w:ascii="Times New Roman" w:hAnsi="Times New Roman" w:eastAsia="方正仿宋简体" w:cs="Times New Roman"/>
          <w:b/>
          <w:color w:val="000000"/>
          <w:kern w:val="0"/>
          <w:sz w:val="32"/>
          <w:szCs w:val="32"/>
          <w:lang w:val="en-US" w:eastAsia="zh-CN"/>
        </w:rPr>
        <w:t>2022年太白湖新区政务公开工作要点，</w:t>
      </w:r>
      <w:r>
        <w:rPr>
          <w:rFonts w:hint="default" w:ascii="Times New Roman" w:hAnsi="Times New Roman" w:eastAsia="方正仿宋简体" w:cs="Times New Roman"/>
          <w:b/>
          <w:color w:val="000000"/>
          <w:kern w:val="0"/>
          <w:sz w:val="32"/>
          <w:szCs w:val="32"/>
        </w:rPr>
        <w:t>着力推进公开、解读、发布全流程联动，不断提升政务公开的质量和实效。</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eastAsia="zh-CN"/>
        </w:rPr>
        <w:t>（一）主动公开情况</w:t>
      </w:r>
      <w:r>
        <w:rPr>
          <w:rFonts w:hint="eastAsia" w:ascii="方正楷体简体" w:hAnsi="Times New Roman" w:eastAsia="方正楷体简体" w:cs="Times New Roman"/>
          <w:b/>
          <w:color w:val="000000"/>
          <w:kern w:val="0"/>
          <w:sz w:val="32"/>
          <w:szCs w:val="32"/>
          <w:lang w:val="en-US" w:eastAsia="zh-CN"/>
        </w:rPr>
        <w:t xml:space="preserve"> </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2022年，区</w:t>
      </w:r>
      <w:r>
        <w:rPr>
          <w:rFonts w:hint="default" w:ascii="Times New Roman" w:hAnsi="Times New Roman" w:eastAsia="方正仿宋简体" w:cs="Times New Roman"/>
          <w:b/>
          <w:color w:val="000000"/>
          <w:kern w:val="0"/>
          <w:sz w:val="32"/>
          <w:szCs w:val="32"/>
          <w:lang w:eastAsia="zh-CN"/>
        </w:rPr>
        <w:t>政法</w:t>
      </w:r>
      <w:r>
        <w:rPr>
          <w:rFonts w:hint="default" w:ascii="Times New Roman" w:hAnsi="Times New Roman" w:eastAsia="方正仿宋简体" w:cs="Times New Roman"/>
          <w:b/>
          <w:color w:val="000000"/>
          <w:kern w:val="0"/>
          <w:sz w:val="32"/>
          <w:szCs w:val="32"/>
          <w:lang w:val="en-US" w:eastAsia="zh-CN"/>
        </w:rPr>
        <w:t>委在济宁市太白湖新区管理委员会政府信息公开门户网站主动公开政府信息共62条。其中，财政预算类4条，机构职能类1条，公告公示类11条。同时按要求及时发布政策文件2条和相关解读7条及我委工作开展情况等</w:t>
      </w:r>
      <w:r>
        <w:rPr>
          <w:rFonts w:hint="default" w:ascii="Times New Roman" w:hAnsi="Times New Roman" w:eastAsia="方正仿宋简体" w:cs="Times New Roman"/>
          <w:b/>
          <w:color w:val="000000"/>
          <w:kern w:val="0"/>
          <w:sz w:val="32"/>
          <w:szCs w:val="32"/>
        </w:rPr>
        <w:t>。</w:t>
      </w:r>
    </w:p>
    <w:p>
      <w:pPr>
        <w:pStyle w:val="2"/>
        <w:jc w:val="center"/>
        <w:rPr>
          <w:rFonts w:hint="default"/>
          <w:lang w:val="en-US" w:eastAsia="zh-CN"/>
        </w:rPr>
      </w:pPr>
      <w:bookmarkStart w:id="10" w:name="_GoBack"/>
      <w:r>
        <w:rPr>
          <w:rFonts w:hint="default"/>
          <w:lang w:val="en-US" w:eastAsia="zh-CN"/>
        </w:rPr>
        <w:drawing>
          <wp:inline distT="0" distB="0" distL="114300" distR="114300">
            <wp:extent cx="4433570" cy="2791460"/>
            <wp:effectExtent l="6350" t="6350" r="17780" b="215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End w:id="10"/>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eastAsia="zh-CN"/>
        </w:rPr>
        <w:t>区政法委（党群工作部）按照《条例》规定的公开范围，除太白湖新区门户网站外，还通过微信公众号发文</w:t>
      </w:r>
      <w:r>
        <w:rPr>
          <w:rFonts w:hint="default" w:ascii="Times New Roman" w:hAnsi="Times New Roman" w:eastAsia="方正仿宋简体" w:cs="Times New Roman"/>
          <w:b/>
          <w:color w:val="000000"/>
          <w:kern w:val="0"/>
          <w:sz w:val="32"/>
          <w:szCs w:val="32"/>
          <w:lang w:val="en-US" w:eastAsia="zh-CN"/>
        </w:rPr>
        <w:t>65篇，</w:t>
      </w:r>
      <w:r>
        <w:rPr>
          <w:rFonts w:hint="default" w:ascii="Times New Roman" w:hAnsi="Times New Roman" w:eastAsia="方正仿宋简体" w:cs="Times New Roman"/>
          <w:b/>
          <w:color w:val="000000"/>
          <w:kern w:val="0"/>
          <w:sz w:val="32"/>
          <w:szCs w:val="32"/>
          <w:lang w:eastAsia="zh-CN"/>
        </w:rPr>
        <w:t>报刊、广播、电视等新闻媒体发布</w:t>
      </w:r>
      <w:r>
        <w:rPr>
          <w:rFonts w:hint="default" w:ascii="Times New Roman" w:hAnsi="Times New Roman" w:eastAsia="方正仿宋简体" w:cs="Times New Roman"/>
          <w:b/>
          <w:color w:val="000000"/>
          <w:kern w:val="0"/>
          <w:sz w:val="32"/>
          <w:szCs w:val="32"/>
          <w:lang w:val="en-US" w:eastAsia="zh-CN"/>
        </w:rPr>
        <w:t>76条。</w:t>
      </w:r>
    </w:p>
    <w:p>
      <w:pPr>
        <w:pStyle w:val="2"/>
        <w:jc w:val="center"/>
        <w:rPr>
          <w:rFonts w:hint="default"/>
          <w:lang w:val="en-US" w:eastAsia="zh-CN"/>
        </w:rPr>
      </w:pPr>
      <w:r>
        <w:rPr>
          <w:rFonts w:hint="default"/>
          <w:lang w:val="en-US" w:eastAsia="zh-CN"/>
        </w:rPr>
        <w:drawing>
          <wp:inline distT="0" distB="0" distL="114300" distR="114300">
            <wp:extent cx="4175760" cy="2325370"/>
            <wp:effectExtent l="6350" t="6350" r="8890"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（二）依申请公开情况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val="en-US" w:eastAsia="zh-CN"/>
        </w:rPr>
        <w:t>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lang w:val="en-US" w:eastAsia="zh-CN"/>
        </w:rPr>
        <w:t>年，区政法委（党群工作部）未收到公民、法人或其他组织提出的政府信息公开申请。</w:t>
      </w:r>
    </w:p>
    <w:p>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（三）政府信息管理情况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val="en-US" w:eastAsia="zh-CN"/>
        </w:rPr>
        <w:t>区政法委（党群工作部）</w:t>
      </w:r>
      <w:r>
        <w:rPr>
          <w:rFonts w:hint="eastAsia" w:ascii="Times New Roman" w:hAnsi="Times New Roman" w:eastAsia="方正仿宋简体" w:cs="Times New Roman"/>
          <w:b/>
          <w:color w:val="000000"/>
          <w:kern w:val="0"/>
          <w:sz w:val="32"/>
          <w:szCs w:val="32"/>
          <w:lang w:val="en-US" w:eastAsia="zh-CN"/>
        </w:rPr>
        <w:t>本着“规范、明了、实用”的工作原则，突出重点，创新形式，不断提高政府信息公开工作水平。同时，</w:t>
      </w:r>
      <w:r>
        <w:rPr>
          <w:rFonts w:hint="default" w:ascii="Times New Roman" w:hAnsi="Times New Roman" w:eastAsia="方正仿宋简体" w:cs="Times New Roman"/>
          <w:b/>
          <w:color w:val="000000"/>
          <w:kern w:val="0"/>
          <w:sz w:val="32"/>
          <w:szCs w:val="32"/>
          <w:lang w:val="en-US" w:eastAsia="zh-CN"/>
        </w:rPr>
        <w:t>严格落实单位主体责任，专人做好政府信息公开保密审查和发布工作，努力提升信息发布质量。</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（四）政府信息公开平台建设情况</w:t>
      </w:r>
    </w:p>
    <w:p>
      <w:pPr>
        <w:keepNext w:val="0"/>
        <w:keepLines w:val="0"/>
        <w:pageBreakBefore w:val="0"/>
        <w:widowControl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区政法委（党群工作部）</w:t>
      </w:r>
      <w:r>
        <w:rPr>
          <w:rFonts w:hint="default" w:ascii="Times New Roman" w:hAnsi="Times New Roman" w:eastAsia="方正仿宋简体" w:cs="Times New Roman"/>
          <w:b/>
          <w:color w:val="000000"/>
          <w:kern w:val="0"/>
          <w:sz w:val="32"/>
          <w:szCs w:val="32"/>
          <w:lang w:val="en-US" w:eastAsia="zh-CN"/>
        </w:rPr>
        <w:t>切实规范完善平台建设，确保信息准确及时发布。按照区政务公开领导小组的统一部署，更新信息公开目录，补充完善业务工作</w:t>
      </w:r>
      <w:r>
        <w:rPr>
          <w:rFonts w:hint="eastAsia" w:ascii="Times New Roman" w:hAnsi="Times New Roman" w:eastAsia="方正仿宋简体" w:cs="Times New Roman"/>
          <w:b/>
          <w:color w:val="000000"/>
          <w:kern w:val="0"/>
          <w:sz w:val="32"/>
          <w:szCs w:val="32"/>
          <w:lang w:val="en-US" w:eastAsia="zh-CN"/>
        </w:rPr>
        <w:t>、</w:t>
      </w:r>
      <w:r>
        <w:rPr>
          <w:rFonts w:hint="default" w:ascii="Times New Roman" w:hAnsi="Times New Roman" w:eastAsia="方正仿宋简体" w:cs="Times New Roman"/>
          <w:b/>
          <w:color w:val="000000"/>
          <w:kern w:val="0"/>
          <w:sz w:val="32"/>
          <w:szCs w:val="32"/>
          <w:lang w:val="en-US" w:eastAsia="zh-CN"/>
        </w:rPr>
        <w:t>财政信息、机构职能</w:t>
      </w:r>
      <w:r>
        <w:rPr>
          <w:rFonts w:hint="eastAsia" w:ascii="Times New Roman" w:hAnsi="Times New Roman" w:eastAsia="方正仿宋简体" w:cs="Times New Roman"/>
          <w:b/>
          <w:color w:val="000000"/>
          <w:kern w:val="0"/>
          <w:sz w:val="32"/>
          <w:szCs w:val="32"/>
          <w:lang w:val="en-US" w:eastAsia="zh-CN"/>
        </w:rPr>
        <w:t>、通知公告</w:t>
      </w:r>
      <w:r>
        <w:rPr>
          <w:rFonts w:hint="default" w:ascii="Times New Roman" w:hAnsi="Times New Roman" w:eastAsia="方正仿宋简体" w:cs="Times New Roman"/>
          <w:b/>
          <w:color w:val="000000"/>
          <w:kern w:val="0"/>
          <w:sz w:val="32"/>
          <w:szCs w:val="32"/>
          <w:lang w:val="en-US" w:eastAsia="zh-CN"/>
        </w:rPr>
        <w:t>等栏目。认真做好政府信息公开平台的信息管理工作，及时更新平台各项的信息公开栏目并做好日常维护，确保信息发布的规范性、及时效性，以准确及时地反映我</w:t>
      </w:r>
      <w:r>
        <w:rPr>
          <w:rFonts w:hint="eastAsia" w:ascii="Times New Roman" w:hAnsi="Times New Roman" w:eastAsia="方正仿宋简体" w:cs="Times New Roman"/>
          <w:b/>
          <w:color w:val="000000"/>
          <w:kern w:val="0"/>
          <w:sz w:val="32"/>
          <w:szCs w:val="32"/>
          <w:lang w:val="en-US" w:eastAsia="zh-CN"/>
        </w:rPr>
        <w:t>委</w:t>
      </w:r>
      <w:r>
        <w:rPr>
          <w:rFonts w:hint="default" w:ascii="Times New Roman" w:hAnsi="Times New Roman" w:eastAsia="方正仿宋简体" w:cs="Times New Roman"/>
          <w:b/>
          <w:color w:val="000000"/>
          <w:kern w:val="0"/>
          <w:sz w:val="32"/>
          <w:szCs w:val="32"/>
          <w:lang w:val="en-US" w:eastAsia="zh-CN"/>
        </w:rPr>
        <w:t>的工作动态。同时，通过“太白湖新区普法”微博、微信公众号等政务新媒体平台推送法律知识、政策解读、普法宣传等信息。</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val="en-US" w:eastAsia="zh-CN"/>
        </w:rPr>
        <w:t>（五）监督保障情况</w:t>
      </w:r>
    </w:p>
    <w:p>
      <w:pPr>
        <w:keepNext w:val="0"/>
        <w:keepLines w:val="0"/>
        <w:pageBreakBefore w:val="0"/>
        <w:widowControl w:val="0"/>
        <w:kinsoku/>
        <w:wordWrap/>
        <w:overflowPunct/>
        <w:topLinePunct w:val="0"/>
        <w:autoSpaceDE/>
        <w:autoSpaceDN/>
        <w:bidi w:val="0"/>
        <w:adjustRightInd/>
        <w:snapToGrid/>
        <w:spacing w:line="600" w:lineRule="exact"/>
        <w:ind w:right="-105" w:rightChars="-50" w:firstLine="643" w:firstLineChars="200"/>
        <w:textAlignment w:val="auto"/>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一是明确责任，建立健全组织领导机制。2022年，为保证区政法委（党群工作部）政府信息公开工作的有效实施，加强对政府信息公开工作的领导，建立健全由主要领导负总责，分管领导主抓，办公室具体负责，专人处理政府信息公开的分工及工作机制，安排专人专岗负责政府信息公开工作。</w:t>
      </w:r>
    </w:p>
    <w:p>
      <w:pPr>
        <w:keepNext w:val="0"/>
        <w:keepLines w:val="0"/>
        <w:pageBreakBefore w:val="0"/>
        <w:widowControl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二是强化监督，完善公开制度。2022年，区政法委（党群工作部）进一步完善信息公开机制，建立健全长效管理机制，及时、准确填报应公开的信息，严格遵守信息保密审查制度，确保涉密信息不公开，公开信息不涉密。同时，强化监督检查工作，实行定期检查与不定期检查相结合，鼓励广大干部、群众积极参与监督，积极反映公开过程中存在的突出问题，使公开工作更加扎实、有序开展。</w:t>
      </w:r>
    </w:p>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二、主动公开政府信息情况</w:t>
      </w:r>
    </w:p>
    <w:tbl>
      <w:tblPr>
        <w:tblStyle w:val="6"/>
        <w:tblW w:w="9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682"/>
        <w:gridCol w:w="2133"/>
        <w:gridCol w:w="221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2054"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403" w:type="dxa"/>
            <w:gridSpan w:val="3"/>
            <w:shd w:val="clear" w:color="auto" w:fill="auto"/>
            <w:noWrap w:val="0"/>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lang w:val="en-US" w:eastAsia="zh-CN"/>
        </w:rPr>
      </w:pPr>
      <w:r>
        <w:rPr>
          <w:rFonts w:hint="eastAsia" w:ascii="方正黑体简体" w:hAnsi="Times New Roman" w:eastAsia="方正黑体简体" w:cs="Times New Roman"/>
          <w:b/>
          <w:color w:val="000000"/>
          <w:kern w:val="0"/>
          <w:sz w:val="32"/>
          <w:szCs w:val="32"/>
          <w:lang w:val="en-US" w:eastAsia="zh-CN"/>
        </w:rPr>
        <w:t>三、收到和处理政府信息公开申请情况</w:t>
      </w:r>
    </w:p>
    <w:tbl>
      <w:tblPr>
        <w:tblStyle w:val="6"/>
        <w:tblW w:w="909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13"/>
        <w:gridCol w:w="1045"/>
        <w:gridCol w:w="2976"/>
        <w:gridCol w:w="742"/>
        <w:gridCol w:w="545"/>
        <w:gridCol w:w="5"/>
        <w:gridCol w:w="535"/>
        <w:gridCol w:w="598"/>
        <w:gridCol w:w="600"/>
        <w:gridCol w:w="425"/>
        <w:gridCol w:w="7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4934" w:type="dxa"/>
            <w:gridSpan w:val="3"/>
            <w:vMerge w:val="restart"/>
            <w:shd w:val="clear" w:color="auto" w:fill="auto"/>
            <w:tcMar>
              <w:left w:w="108" w:type="dxa"/>
              <w:right w:w="108" w:type="dxa"/>
            </w:tcMar>
            <w:vAlign w:val="center"/>
          </w:tcPr>
          <w:p>
            <w:pPr>
              <w:widowControl/>
              <w:jc w:val="center"/>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pPr>
              <w:widowControl/>
              <w:jc w:val="center"/>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164" w:type="dxa"/>
            <w:gridSpan w:val="8"/>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4934" w:type="dxa"/>
            <w:gridSpan w:val="3"/>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c>
          <w:tcPr>
            <w:tcW w:w="742"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自然人</w:t>
            </w:r>
          </w:p>
        </w:tc>
        <w:tc>
          <w:tcPr>
            <w:tcW w:w="2708" w:type="dxa"/>
            <w:gridSpan w:val="6"/>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714"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4934"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2" w:type="dxa"/>
            <w:vMerge w:val="continue"/>
            <w:shd w:val="clear" w:color="auto" w:fill="auto"/>
            <w:tcMar>
              <w:left w:w="108" w:type="dxa"/>
              <w:right w:w="108" w:type="dxa"/>
            </w:tcMar>
            <w:vAlign w:val="center"/>
          </w:tcPr>
          <w:p>
            <w:pPr>
              <w:jc w:val="center"/>
              <w:rPr>
                <w:rFonts w:ascii="黑体" w:hAnsi="黑体" w:eastAsia="黑体"/>
                <w:szCs w:val="21"/>
              </w:rPr>
            </w:pPr>
          </w:p>
        </w:tc>
        <w:tc>
          <w:tcPr>
            <w:tcW w:w="54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科研机构</w:t>
            </w:r>
          </w:p>
        </w:tc>
        <w:tc>
          <w:tcPr>
            <w:tcW w:w="598"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社会公益组织</w:t>
            </w:r>
          </w:p>
        </w:tc>
        <w:tc>
          <w:tcPr>
            <w:tcW w:w="600"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4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b/>
                <w:bCs/>
                <w:szCs w:val="21"/>
              </w:rPr>
            </w:pPr>
            <w:r>
              <w:rPr>
                <w:rFonts w:hint="eastAsia" w:ascii="黑体" w:hAnsi="黑体" w:eastAsia="黑体"/>
                <w:b/>
                <w:bCs/>
                <w:kern w:val="0"/>
                <w:szCs w:val="21"/>
              </w:rPr>
              <w:t>其他</w:t>
            </w:r>
          </w:p>
        </w:tc>
        <w:tc>
          <w:tcPr>
            <w:tcW w:w="714"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02" w:hRule="atLeast"/>
          <w:jc w:val="center"/>
        </w:trPr>
        <w:tc>
          <w:tcPr>
            <w:tcW w:w="4934" w:type="dxa"/>
            <w:gridSpan w:val="3"/>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w:t>
            </w:r>
            <w:bookmarkStart w:id="0" w:name="_Hlk66973412"/>
            <w:r>
              <w:rPr>
                <w:rFonts w:hint="eastAsia" w:ascii="方正仿宋简体" w:hAnsi="宋体" w:eastAsia="方正仿宋简体" w:cs="宋体"/>
                <w:b/>
                <w:kern w:val="0"/>
                <w:sz w:val="21"/>
                <w:szCs w:val="21"/>
                <w:lang w:bidi="ar"/>
              </w:rPr>
              <w:t>本年新收政府信息公开申请数量</w:t>
            </w:r>
            <w:bookmarkEnd w:id="0"/>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85" w:hRule="atLeast"/>
          <w:jc w:val="center"/>
        </w:trPr>
        <w:tc>
          <w:tcPr>
            <w:tcW w:w="4934" w:type="dxa"/>
            <w:gridSpan w:val="3"/>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二、上年结转政府信息公开申请数量</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913"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三、本年度办理结果</w:t>
            </w:r>
          </w:p>
        </w:tc>
        <w:tc>
          <w:tcPr>
            <w:tcW w:w="4021" w:type="dxa"/>
            <w:gridSpan w:val="2"/>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（一）予以公开</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14" w:hRule="atLeas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4021" w:type="dxa"/>
            <w:gridSpan w:val="2"/>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（二）部分公开（</w:t>
            </w:r>
            <w:bookmarkStart w:id="1" w:name="_Hlk66973981"/>
            <w:r>
              <w:rPr>
                <w:rFonts w:hint="eastAsia" w:ascii="方正仿宋简体" w:hAnsi="宋体" w:eastAsia="方正仿宋简体" w:cs="宋体"/>
                <w:b/>
                <w:kern w:val="0"/>
                <w:sz w:val="21"/>
                <w:szCs w:val="21"/>
                <w:lang w:bidi="ar"/>
              </w:rPr>
              <w:t>区分处理的，只计这一情形，不计其他情形</w:t>
            </w:r>
            <w:bookmarkEnd w:id="1"/>
            <w:r>
              <w:rPr>
                <w:rFonts w:hint="eastAsia" w:ascii="方正仿宋简体" w:hAnsi="宋体" w:eastAsia="方正仿宋简体" w:cs="宋体"/>
                <w:b/>
                <w:kern w:val="0"/>
                <w:sz w:val="21"/>
                <w:szCs w:val="21"/>
                <w:lang w:bidi="ar"/>
              </w:rPr>
              <w:t>）</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（三）不予公开</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1.属于国家秘密</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7"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2" w:name="_Hlk66974104"/>
            <w:r>
              <w:rPr>
                <w:rFonts w:hint="eastAsia" w:ascii="方正仿宋简体" w:hAnsi="宋体" w:eastAsia="方正仿宋简体" w:cs="宋体"/>
                <w:b/>
                <w:kern w:val="0"/>
                <w:sz w:val="21"/>
                <w:szCs w:val="21"/>
                <w:lang w:bidi="ar"/>
              </w:rPr>
              <w:t>其他法律行政法规禁止公开</w:t>
            </w:r>
            <w:bookmarkEnd w:id="2"/>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3.危及“三安全一稳定”</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w:t>
            </w:r>
            <w:bookmarkStart w:id="3" w:name="_Hlk66974290"/>
            <w:r>
              <w:rPr>
                <w:rFonts w:hint="eastAsia" w:ascii="方正仿宋简体" w:hAnsi="宋体" w:eastAsia="方正仿宋简体" w:cs="宋体"/>
                <w:b/>
                <w:kern w:val="0"/>
                <w:sz w:val="21"/>
                <w:szCs w:val="21"/>
                <w:lang w:bidi="ar"/>
              </w:rPr>
              <w:t>保护第三方合法权益</w:t>
            </w:r>
            <w:bookmarkEnd w:id="3"/>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5.属于三类内部事务信息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1"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6.</w:t>
            </w:r>
            <w:bookmarkStart w:id="4" w:name="_Hlk66974555"/>
            <w:r>
              <w:rPr>
                <w:rFonts w:hint="eastAsia" w:ascii="方正仿宋简体" w:hAnsi="宋体" w:eastAsia="方正仿宋简体" w:cs="宋体"/>
                <w:b/>
                <w:kern w:val="0"/>
                <w:sz w:val="21"/>
                <w:szCs w:val="21"/>
                <w:lang w:bidi="ar"/>
              </w:rPr>
              <w:t>属于四类过程性信息</w:t>
            </w:r>
            <w:bookmarkEnd w:id="4"/>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7.属于行政执法案卷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8.</w:t>
            </w:r>
            <w:bookmarkStart w:id="5" w:name="_Hlk66975211"/>
            <w:r>
              <w:rPr>
                <w:rFonts w:hint="eastAsia" w:ascii="方正仿宋简体" w:hAnsi="宋体" w:eastAsia="方正仿宋简体" w:cs="宋体"/>
                <w:b/>
                <w:kern w:val="0"/>
                <w:sz w:val="21"/>
                <w:szCs w:val="21"/>
                <w:lang w:bidi="ar"/>
              </w:rPr>
              <w:t>属于行政查询事项</w:t>
            </w:r>
            <w:bookmarkEnd w:id="5"/>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（四）无法提供</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1.本机关不掌握相关政府信息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6" w:name="_Hlk66975392"/>
            <w:r>
              <w:rPr>
                <w:rFonts w:hint="eastAsia" w:ascii="方正仿宋简体" w:hAnsi="宋体" w:eastAsia="方正仿宋简体" w:cs="宋体"/>
                <w:b/>
                <w:kern w:val="0"/>
                <w:sz w:val="21"/>
                <w:szCs w:val="21"/>
                <w:lang w:bidi="ar"/>
              </w:rPr>
              <w:t>没有现成信息需要另行制作</w:t>
            </w:r>
            <w:bookmarkEnd w:id="6"/>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w:t>
            </w:r>
            <w:bookmarkStart w:id="7" w:name="_Hlk66975466"/>
            <w:r>
              <w:rPr>
                <w:rFonts w:hint="eastAsia" w:ascii="方正仿宋简体" w:hAnsi="宋体" w:eastAsia="方正仿宋简体" w:cs="宋体"/>
                <w:b/>
                <w:kern w:val="0"/>
                <w:sz w:val="21"/>
                <w:szCs w:val="21"/>
                <w:lang w:bidi="ar"/>
              </w:rPr>
              <w:t>补正后申请内容仍不明确</w:t>
            </w:r>
            <w:bookmarkEnd w:id="7"/>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（五）不予处理</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w:t>
            </w:r>
            <w:bookmarkStart w:id="8" w:name="_Hlk66975537"/>
            <w:r>
              <w:rPr>
                <w:rFonts w:hint="eastAsia" w:ascii="方正仿宋简体" w:hAnsi="宋体" w:eastAsia="方正仿宋简体" w:cs="宋体"/>
                <w:b/>
                <w:kern w:val="0"/>
                <w:sz w:val="21"/>
                <w:szCs w:val="21"/>
                <w:lang w:bidi="ar"/>
              </w:rPr>
              <w:t>信访举报投诉类申请</w:t>
            </w:r>
            <w:bookmarkEnd w:id="8"/>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2.重复申请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3.要求提供公开出版物</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10"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4.无正当理由大量反复申请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79"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b/>
                <w:bCs/>
                <w:kern w:val="0"/>
                <w:szCs w:val="21"/>
              </w:rPr>
            </w:pPr>
            <w:r>
              <w:rPr>
                <w:rFonts w:hint="eastAsia" w:ascii="仿宋_GB2312" w:hAnsi="黑体" w:eastAsia="仿宋_GB2312"/>
                <w:b/>
                <w:bCs/>
                <w:kern w:val="0"/>
                <w:szCs w:val="21"/>
              </w:rPr>
              <w:t>5.要求行政机关确认或重新</w:t>
            </w:r>
          </w:p>
          <w:p>
            <w:pPr>
              <w:widowControl/>
              <w:spacing w:line="300" w:lineRule="exact"/>
              <w:ind w:firstLine="211" w:firstLineChars="100"/>
              <w:rPr>
                <w:rFonts w:ascii="仿宋_GB2312" w:hAnsi="黑体" w:eastAsia="仿宋_GB2312"/>
                <w:b/>
                <w:bCs/>
                <w:szCs w:val="21"/>
              </w:rPr>
            </w:pPr>
            <w:r>
              <w:rPr>
                <w:rFonts w:hint="eastAsia" w:ascii="仿宋_GB2312" w:hAnsi="黑体" w:eastAsia="仿宋_GB2312"/>
                <w:b/>
                <w:bCs/>
                <w:kern w:val="0"/>
                <w:szCs w:val="21"/>
              </w:rPr>
              <w:t>出具已获取信息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121"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restart"/>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（六）其他处理</w:t>
            </w: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1.申请人无正当理由逾期不补正、行政机关不再处理其政府信息公开申请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40"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2.申请人逾期未按收费通知要求缴纳费用、行政机关不再处理其政府信息公开申请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0"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3.其他</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4021" w:type="dxa"/>
            <w:gridSpan w:val="2"/>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（七）总计</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4934" w:type="dxa"/>
            <w:gridSpan w:val="3"/>
            <w:shd w:val="clear" w:color="auto" w:fill="auto"/>
            <w:tcMar>
              <w:left w:w="108" w:type="dxa"/>
              <w:right w:w="108" w:type="dxa"/>
            </w:tcMar>
            <w:vAlign w:val="center"/>
          </w:tcPr>
          <w:p>
            <w:pPr>
              <w:widowControl/>
              <w:spacing w:line="300" w:lineRule="exact"/>
              <w:rPr>
                <w:rFonts w:ascii="黑体" w:hAnsi="黑体" w:eastAsia="黑体"/>
                <w:b/>
                <w:bCs/>
                <w:kern w:val="0"/>
                <w:szCs w:val="21"/>
              </w:rPr>
            </w:pPr>
            <w:r>
              <w:rPr>
                <w:rFonts w:hint="eastAsia" w:ascii="方正仿宋简体" w:hAnsi="宋体" w:eastAsia="方正仿宋简体" w:cs="宋体"/>
                <w:b/>
                <w:kern w:val="0"/>
                <w:sz w:val="21"/>
                <w:szCs w:val="21"/>
                <w:lang w:bidi="ar"/>
              </w:rPr>
              <w:t>四、结转下年度继续办理</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kern w:val="0"/>
          <w:sz w:val="32"/>
          <w:szCs w:val="32"/>
        </w:rPr>
      </w:pPr>
      <w:r>
        <w:rPr>
          <w:rFonts w:hint="eastAsia" w:ascii="方正黑体简体" w:hAnsi="Times New Roman" w:eastAsia="方正黑体简体" w:cs="Times New Roman"/>
          <w:b/>
          <w:kern w:val="0"/>
          <w:sz w:val="32"/>
          <w:szCs w:val="32"/>
          <w:lang w:val="en-US" w:eastAsia="zh-CN"/>
        </w:rPr>
        <w:t>四、政府信息公开行政复议、行政诉讼情况</w:t>
      </w:r>
    </w:p>
    <w:tbl>
      <w:tblPr>
        <w:tblStyle w:val="6"/>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49" w:leftChars="-71" w:right="-170" w:rightChars="-81"/>
              <w:jc w:val="center"/>
              <w:rPr>
                <w:rFonts w:ascii="黑体" w:hAnsi="黑体" w:eastAsia="黑体"/>
                <w:b/>
                <w:bCs/>
              </w:rPr>
            </w:pPr>
            <w:r>
              <w:rPr>
                <w:rFonts w:ascii="黑体" w:hAnsi="黑体" w:eastAsia="黑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b/>
                <w:bCs/>
              </w:rPr>
            </w:pPr>
            <w:r>
              <w:rPr>
                <w:rFonts w:ascii="黑体" w:hAnsi="黑体" w:eastAsia="黑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b/>
                <w:bCs/>
              </w:rPr>
            </w:pPr>
            <w:r>
              <w:rPr>
                <w:rFonts w:ascii="黑体" w:hAnsi="黑体" w:eastAsia="黑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18" w:leftChars="-56" w:right="-118" w:rightChars="-56"/>
              <w:jc w:val="center"/>
              <w:rPr>
                <w:rFonts w:ascii="黑体" w:hAnsi="黑体" w:eastAsia="黑体"/>
                <w:b/>
                <w:bCs/>
              </w:rPr>
            </w:pPr>
            <w:r>
              <w:rPr>
                <w:rFonts w:ascii="黑体" w:hAnsi="黑体" w:eastAsia="黑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b/>
                <w:bCs/>
                <w:kern w:val="0"/>
                <w:sz w:val="20"/>
                <w:szCs w:val="20"/>
              </w:rPr>
            </w:pPr>
            <w:r>
              <w:rPr>
                <w:rFonts w:ascii="黑体" w:hAnsi="黑体" w:eastAsia="黑体"/>
                <w:b/>
                <w:bCs/>
                <w:kern w:val="0"/>
                <w:sz w:val="20"/>
                <w:szCs w:val="20"/>
              </w:rPr>
              <w:t>总</w:t>
            </w:r>
          </w:p>
          <w:p>
            <w:pPr>
              <w:widowControl/>
              <w:spacing w:line="320" w:lineRule="exact"/>
              <w:jc w:val="center"/>
              <w:rPr>
                <w:rFonts w:ascii="黑体" w:hAnsi="黑体" w:eastAsia="黑体"/>
                <w:b/>
                <w:bCs/>
              </w:rPr>
            </w:pPr>
            <w:r>
              <w:rPr>
                <w:rFonts w:ascii="黑体" w:hAnsi="黑体" w:eastAsia="黑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bookmarkStart w:id="9" w:name="_Hlk67039688"/>
            <w:r>
              <w:rPr>
                <w:rFonts w:ascii="黑体" w:hAnsi="黑体" w:eastAsia="黑体"/>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b/>
                <w:bCs/>
              </w:rPr>
            </w:pPr>
            <w:r>
              <w:rPr>
                <w:rFonts w:ascii="黑体" w:hAnsi="黑体" w:eastAsia="黑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b/>
                <w:bCs/>
              </w:rPr>
            </w:pPr>
            <w:r>
              <w:rPr>
                <w:rFonts w:ascii="黑体" w:hAnsi="黑体" w:eastAsia="黑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26" w:leftChars="-60" w:right="-136" w:rightChars="-65"/>
              <w:jc w:val="center"/>
              <w:rPr>
                <w:rFonts w:ascii="黑体" w:hAnsi="黑体" w:eastAsia="黑体"/>
                <w:b/>
                <w:bCs/>
              </w:rPr>
            </w:pPr>
            <w:r>
              <w:rPr>
                <w:rFonts w:ascii="黑体" w:hAnsi="黑体"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64" w:leftChars="-78" w:right="-153" w:rightChars="-73"/>
              <w:jc w:val="center"/>
              <w:rPr>
                <w:rFonts w:ascii="黑体" w:hAnsi="黑体" w:eastAsia="黑体"/>
                <w:b/>
                <w:bCs/>
              </w:rPr>
            </w:pPr>
            <w:r>
              <w:rPr>
                <w:rFonts w:ascii="黑体" w:hAnsi="黑体"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36" w:leftChars="-65" w:right="-124" w:rightChars="-59"/>
              <w:jc w:val="center"/>
              <w:rPr>
                <w:rFonts w:ascii="黑体" w:hAnsi="黑体" w:eastAsia="黑体"/>
                <w:b/>
                <w:bCs/>
              </w:rPr>
            </w:pPr>
            <w:r>
              <w:rPr>
                <w:rFonts w:ascii="黑体" w:hAnsi="黑体"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73" w:leftChars="-83" w:right="-134" w:rightChars="-64" w:hanging="1"/>
              <w:jc w:val="center"/>
              <w:rPr>
                <w:rFonts w:ascii="黑体" w:hAnsi="黑体" w:eastAsia="黑体"/>
                <w:b/>
                <w:bCs/>
              </w:rPr>
            </w:pPr>
            <w:r>
              <w:rPr>
                <w:rFonts w:ascii="黑体" w:hAnsi="黑体"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b/>
                <w:bCs/>
              </w:rPr>
            </w:pPr>
            <w:r>
              <w:rPr>
                <w:rFonts w:ascii="黑体" w:hAnsi="黑体"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五、存在的主要问题及改进情况</w:t>
      </w:r>
    </w:p>
    <w:p>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我委开展政府信息公开工作虽取得初步成效，但也还存在一些问题：一是各科室对政府信息公开的重要性认识不够，有待进一步提升；二是政府信息公开工作为兼职人员，属于一人多岗；三是公开形式的便民性不足、覆盖面不广，信息发布的积极性和主动性不够等。结合不足，区政法委员会将采取以下措施完善信息公开工作：</w:t>
      </w:r>
    </w:p>
    <w:p>
      <w:pPr>
        <w:spacing w:line="590" w:lineRule="exact"/>
        <w:ind w:right="-105" w:rightChars="-50" w:firstLine="643" w:firstLineChars="200"/>
        <w:rPr>
          <w:rFonts w:hint="eastAsia" w:ascii="Times New Roman" w:hAnsi="Times New Roman" w:eastAsia="方正公文仿宋" w:cs="Times New Roman"/>
          <w:b/>
          <w:color w:val="000000"/>
          <w:sz w:val="32"/>
          <w:szCs w:val="32"/>
          <w:lang w:val="en-US" w:eastAsia="zh-CN"/>
        </w:rPr>
      </w:pPr>
      <w:r>
        <w:rPr>
          <w:rFonts w:hint="eastAsia" w:ascii="方正仿宋简体" w:hAnsi="Times New Roman" w:eastAsia="方正仿宋简体" w:cs="Times New Roman"/>
          <w:b/>
          <w:kern w:val="0"/>
          <w:sz w:val="32"/>
          <w:szCs w:val="32"/>
          <w:lang w:val="en-US" w:eastAsia="zh-CN"/>
        </w:rPr>
        <w:t>一是统一思想，提升对政府信息公开重要性的认识。将政府信息公开工作为一项长期化、日常化和制度化的工作，严格按照区政务公开政务服务领导小组办公室工作要求，进一步统一思想，深化认识，确保组织到位、措施到位、责任到位。二是加强宣传，强化工作责任，细化工作任务，提高各科室对政务信息公开的知晓率和参与度。在保证网络公开为主的前提下，进一步加大报刊、广播、电视等传统媒体的推介力度，扩大信息覆盖面。三是规范程序，完善政务信息发布相关制度。严格规范信息的收集、编制、审查、发布等各环节程序，明确有关信息发布的职责分工，加强监督管理，并建立健全考核制度和责任追究制度，避免互相推诿、遗漏信息等情况的发生。四是加大培训，增强政务信息发布的质量。加大教育培训力度，使干部职工在思想上充分重视信息公开，提高信息报送的积极性和主动性，提升信息质量。</w:t>
      </w:r>
    </w:p>
    <w:p>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六、其他需要报告的事项</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（一）依据《政府信息公开信息处理费管理办法》收取信息处理费的情况</w:t>
      </w:r>
    </w:p>
    <w:p>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本年本单位未发生收取信息处理费的情况。</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（二）落实上级年度政务公开工作要点情况</w:t>
      </w:r>
    </w:p>
    <w:p>
      <w:pPr>
        <w:spacing w:line="590" w:lineRule="exact"/>
        <w:ind w:right="-105" w:rightChars="-50" w:firstLine="643" w:firstLineChars="200"/>
        <w:rPr>
          <w:rFonts w:hint="default"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2022年，太白湖新区政法委员会认真落实省、市关于政务公开工作的各项要求，结合部门实际，制定本年度政务公开要点，及时调整政务公开内容，创新政务公开平台，丰富宣传内容，确保应公开信息尽公开，不断提升政务公开能力水平。</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（三）人大代表建议和政协提案办理结果公开情况</w:t>
      </w:r>
    </w:p>
    <w:p>
      <w:pPr>
        <w:spacing w:line="590" w:lineRule="exact"/>
        <w:ind w:right="-105" w:rightChars="-50" w:firstLine="643" w:firstLineChars="200"/>
        <w:rPr>
          <w:rFonts w:hint="eastAsia" w:ascii="Times New Roman" w:hAnsi="Times New Roman" w:eastAsia="方正仿宋简体" w:cs="Times New Roman"/>
          <w:b/>
          <w:kern w:val="0"/>
          <w:sz w:val="32"/>
          <w:szCs w:val="32"/>
          <w:lang w:val="en-US" w:eastAsia="zh-CN"/>
        </w:rPr>
      </w:pPr>
      <w:r>
        <w:rPr>
          <w:rFonts w:hint="eastAsia" w:ascii="Times New Roman" w:hAnsi="Times New Roman" w:eastAsia="方正仿宋简体" w:cs="Times New Roman"/>
          <w:b/>
          <w:kern w:val="0"/>
          <w:sz w:val="32"/>
          <w:szCs w:val="32"/>
          <w:lang w:val="en-US" w:eastAsia="zh-CN"/>
        </w:rPr>
        <w:t>本年本单位未收到人大代表建议和政协提案。</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（四）年度政务公开工作创新情况</w:t>
      </w:r>
    </w:p>
    <w:p>
      <w:pPr>
        <w:spacing w:line="590" w:lineRule="exact"/>
        <w:ind w:right="-105" w:rightChars="-50" w:firstLine="643" w:firstLineChars="200"/>
        <w:rPr>
          <w:rFonts w:hint="eastAsia" w:ascii="Times New Roman" w:hAnsi="Times New Roman" w:eastAsia="方正仿宋简体" w:cs="Times New Roman"/>
          <w:b/>
          <w:kern w:val="0"/>
          <w:sz w:val="32"/>
          <w:szCs w:val="32"/>
          <w:lang w:val="en-US" w:eastAsia="zh-CN"/>
        </w:rPr>
      </w:pPr>
      <w:r>
        <w:rPr>
          <w:rFonts w:hint="eastAsia" w:ascii="Times New Roman" w:hAnsi="Times New Roman" w:eastAsia="方正仿宋简体" w:cs="Times New Roman"/>
          <w:b/>
          <w:kern w:val="0"/>
          <w:sz w:val="32"/>
          <w:szCs w:val="32"/>
          <w:lang w:val="en-US" w:eastAsia="zh-CN"/>
        </w:rPr>
        <w:t>太白湖新区政法委积极创新政务公开形式，科室积极探索构建微信公众号、普法微博号“两号联动”的政务公开和宣传工作矩阵，采取群众喜闻乐见的方式，加强政策解读，提升公开效果。</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（五）政府信息公开工作年度报告数据统计需要说明的事项</w:t>
      </w:r>
    </w:p>
    <w:p>
      <w:pPr>
        <w:spacing w:line="590" w:lineRule="exact"/>
        <w:ind w:right="-105" w:rightChars="-50" w:firstLine="643" w:firstLineChars="200"/>
        <w:rPr>
          <w:rFonts w:hint="eastAsia" w:ascii="Times New Roman" w:hAnsi="Times New Roman" w:eastAsia="方正公文楷体" w:cs="Times New Roman"/>
          <w:b/>
          <w:color w:val="000000"/>
          <w:sz w:val="32"/>
          <w:szCs w:val="32"/>
        </w:rPr>
      </w:pPr>
      <w:r>
        <w:rPr>
          <w:rFonts w:hint="eastAsia" w:ascii="Times New Roman" w:hAnsi="Times New Roman" w:eastAsia="方正仿宋简体" w:cs="Times New Roman"/>
          <w:b/>
          <w:kern w:val="0"/>
          <w:sz w:val="32"/>
          <w:szCs w:val="32"/>
          <w:lang w:val="en-US" w:eastAsia="zh-CN"/>
        </w:rPr>
        <w:t>无。</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（六）认为需要报告的其他事项</w:t>
      </w:r>
    </w:p>
    <w:p>
      <w:pPr>
        <w:spacing w:line="590" w:lineRule="exact"/>
        <w:ind w:right="-105" w:rightChars="-50" w:firstLine="643" w:firstLineChars="200"/>
        <w:rPr>
          <w:rFonts w:hint="eastAsia" w:ascii="Times New Roman" w:hAnsi="Times New Roman" w:eastAsia="方正仿宋简体" w:cs="Times New Roman"/>
          <w:b/>
          <w:kern w:val="0"/>
          <w:sz w:val="32"/>
          <w:szCs w:val="32"/>
          <w:lang w:val="en-US" w:eastAsia="zh-CN"/>
        </w:rPr>
      </w:pPr>
      <w:r>
        <w:rPr>
          <w:rFonts w:hint="eastAsia" w:ascii="Times New Roman" w:hAnsi="Times New Roman" w:eastAsia="方正仿宋简体" w:cs="Times New Roman"/>
          <w:b/>
          <w:kern w:val="0"/>
          <w:sz w:val="32"/>
          <w:szCs w:val="32"/>
          <w:lang w:val="en-US" w:eastAsia="zh-CN"/>
        </w:rPr>
        <w:t>无。</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（七）其他有关文件专门要求通过政府信息公开工作年度报告予以报告的事项</w:t>
      </w:r>
    </w:p>
    <w:p>
      <w:pPr>
        <w:spacing w:line="590" w:lineRule="exact"/>
        <w:ind w:right="-105" w:rightChars="-50" w:firstLine="643" w:firstLineChars="200"/>
        <w:rPr>
          <w:rFonts w:hint="eastAsia" w:ascii="Times New Roman" w:hAnsi="Times New Roman" w:eastAsia="方正仿宋简体" w:cs="Times New Roman"/>
          <w:b/>
          <w:kern w:val="0"/>
          <w:sz w:val="32"/>
          <w:szCs w:val="32"/>
          <w:lang w:val="en-US" w:eastAsia="zh-CN"/>
        </w:rPr>
      </w:pPr>
      <w:r>
        <w:rPr>
          <w:rFonts w:hint="eastAsia" w:ascii="Times New Roman" w:hAnsi="Times New Roman" w:eastAsia="方正仿宋简体" w:cs="Times New Roman"/>
          <w:b/>
          <w:kern w:val="0"/>
          <w:sz w:val="32"/>
          <w:szCs w:val="32"/>
          <w:lang w:val="en-US" w:eastAsia="zh-CN"/>
        </w:rPr>
        <w:t>无。</w:t>
      </w: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Black">
    <w:panose1 w:val="020B0A04020102020204"/>
    <w:charset w:val="00"/>
    <w:family w:val="swiss"/>
    <w:pitch w:val="variable"/>
    <w:sig w:usb0="00000287" w:usb1="00000000" w:usb2="00000000" w:usb3="00000000" w:csb0="2000009F" w:csb1="DFD7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mFhNjFiYTk2NjBmYTM3YzA4ZjQzOGQyNzQ4ZDQifQ=="/>
  </w:docVars>
  <w:rsids>
    <w:rsidRoot w:val="11AF18C8"/>
    <w:rsid w:val="0F4B48EC"/>
    <w:rsid w:val="10287F3D"/>
    <w:rsid w:val="11AF18C8"/>
    <w:rsid w:val="14CB3DD9"/>
    <w:rsid w:val="165327F6"/>
    <w:rsid w:val="1A6A77C7"/>
    <w:rsid w:val="20E92B59"/>
    <w:rsid w:val="25B03C4D"/>
    <w:rsid w:val="273159AC"/>
    <w:rsid w:val="28E514B5"/>
    <w:rsid w:val="490E3124"/>
    <w:rsid w:val="4BB962A9"/>
    <w:rsid w:val="52A511EA"/>
    <w:rsid w:val="54F71AA5"/>
    <w:rsid w:val="5FDD3035"/>
    <w:rsid w:val="60304AE5"/>
    <w:rsid w:val="62215B26"/>
    <w:rsid w:val="626530D4"/>
    <w:rsid w:val="6F9308F5"/>
    <w:rsid w:val="77181135"/>
    <w:rsid w:val="7CE43B49"/>
    <w:rsid w:val="7E1328B2"/>
    <w:rsid w:val="7E9C6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0" normalizeH="0" baseline="0">
                <a:solidFill>
                  <a:schemeClr val="dk1"/>
                </a:solidFill>
                <a:uFill>
                  <a:solidFill>
                    <a:schemeClr val="tx1"/>
                  </a:solidFill>
                </a:uFill>
                <a:latin typeface="+mn-lt"/>
                <a:ea typeface="+mn-ea"/>
                <a:cs typeface="+mn-cs"/>
              </a:defRPr>
            </a:pPr>
            <a:r>
              <a:rPr b="1" u="none" strike="noStrike" cap="none" normalizeH="0">
                <a:solidFill>
                  <a:schemeClr val="dk1"/>
                </a:solidFill>
                <a:uFill>
                  <a:solidFill>
                    <a:schemeClr val="tx1"/>
                  </a:solidFill>
                </a:uFill>
                <a:latin typeface="+mn-lt"/>
                <a:ea typeface="+mn-ea"/>
                <a:cs typeface="+mn-cs"/>
              </a:rPr>
              <a:t>政府信息公开门户网站</a:t>
            </a:r>
            <a:endParaRPr b="1" u="none" strike="noStrike" cap="none" normalizeH="0">
              <a:solidFill>
                <a:schemeClr val="dk1"/>
              </a:solidFill>
              <a:uFill>
                <a:solidFill>
                  <a:schemeClr val="tx1"/>
                </a:solidFill>
              </a:uFill>
              <a:latin typeface="+mn-lt"/>
              <a:ea typeface="+mn-ea"/>
              <a:cs typeface="+mn-cs"/>
            </a:endParaRPr>
          </a:p>
        </c:rich>
      </c:tx>
      <c:layout>
        <c:manualLayout>
          <c:xMode val="edge"/>
          <c:yMode val="edge"/>
          <c:x val="0.30175"/>
          <c:y val="0.04"/>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explosion val="0"/>
            <c:spPr>
              <a:solidFill>
                <a:schemeClr val="accent6"/>
              </a:solidFill>
              <a:ln w="19050">
                <a:solidFill>
                  <a:schemeClr val="lt1"/>
                </a:solidFill>
              </a:ln>
              <a:effectLst/>
            </c:spPr>
          </c:dPt>
          <c:dPt>
            <c:idx val="3"/>
            <c:bubble3D val="0"/>
            <c:spPr>
              <a:solidFill>
                <a:schemeClr val="accent2">
                  <a:lumMod val="60000"/>
                </a:schemeClr>
              </a:solidFill>
              <a:ln w="19050">
                <a:solidFill>
                  <a:schemeClr val="lt1"/>
                </a:solidFill>
              </a:ln>
              <a:effectLst/>
            </c:spPr>
          </c:dPt>
          <c:dPt>
            <c:idx val="4"/>
            <c:bubble3D val="0"/>
            <c:spPr>
              <a:solidFill>
                <a:schemeClr val="accent4">
                  <a:lumMod val="60000"/>
                </a:schemeClr>
              </a:solidFill>
              <a:ln w="19050">
                <a:solidFill>
                  <a:schemeClr val="lt1"/>
                </a:solidFill>
              </a:ln>
              <a:effectLst/>
            </c:spPr>
          </c:dPt>
          <c:dLbls>
            <c:dLbl>
              <c:idx val="0"/>
              <c:layout>
                <c:manualLayout>
                  <c:x val="-0.103174949149078"/>
                  <c:y val="0.179409762597125"/>
                </c:manualLayout>
              </c:layout>
              <c:tx>
                <c:rich>
                  <a:bodyPr rot="0" spcFirstLastPara="0" vertOverflow="ellipsis" vert="horz" wrap="square" lIns="38100" tIns="19050" rIns="38100" bIns="19050" anchor="ctr" anchorCtr="1"/>
                  <a:lstStyle/>
                  <a:p>
                    <a:pPr defTabSz="914400">
                      <a:defRPr lang="zh-CN" sz="900" b="1" i="0" u="none" strike="noStrike" kern="1200" cap="none" spc="0" normalizeH="0" baseline="0">
                        <a:solidFill>
                          <a:schemeClr val="dk1"/>
                        </a:solidFill>
                        <a:uFill>
                          <a:solidFill>
                            <a:schemeClr val="tx1"/>
                          </a:solidFill>
                        </a:uFill>
                        <a:latin typeface="+mn-lt"/>
                        <a:ea typeface="+mn-ea"/>
                        <a:cs typeface="+mn-cs"/>
                      </a:defRPr>
                    </a:pPr>
                    <a:r>
                      <a:rPr sz="1050" b="1" u="none" strike="noStrike" cap="none" normalizeH="0">
                        <a:solidFill>
                          <a:schemeClr val="dk1"/>
                        </a:solidFill>
                        <a:uFill>
                          <a:solidFill>
                            <a:schemeClr val="tx1"/>
                          </a:solidFill>
                        </a:uFill>
                        <a:latin typeface="+mn-lt"/>
                        <a:ea typeface="+mn-ea"/>
                        <a:cs typeface="+mn-cs"/>
                      </a:rPr>
                      <a:t>公告公示类</a:t>
                    </a:r>
                    <a:endParaRPr sz="1050" b="1" u="none" strike="noStrike" cap="none" normalizeH="0">
                      <a:solidFill>
                        <a:schemeClr val="dk1"/>
                      </a:solidFill>
                      <a:uFill>
                        <a:solidFill>
                          <a:schemeClr val="tx1"/>
                        </a:solidFill>
                      </a:uFill>
                      <a:latin typeface="+mn-lt"/>
                      <a:ea typeface="+mn-ea"/>
                      <a:cs typeface="+mn-cs"/>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8478550492939"/>
                      <c:h val="0.0769662921348315"/>
                    </c:manualLayout>
                  </c15:layout>
                </c:ext>
              </c:extLst>
            </c:dLbl>
            <c:dLbl>
              <c:idx val="1"/>
              <c:layout>
                <c:manualLayout>
                  <c:x val="0.018250864870342"/>
                  <c:y val="-0.00877473716469149"/>
                </c:manualLayout>
              </c:layout>
              <c:tx>
                <c:rich>
                  <a:bodyPr rot="0" spcFirstLastPara="0" vertOverflow="ellipsis" vert="horz" wrap="square" lIns="38100" tIns="19050" rIns="38100" bIns="19050" anchor="ctr" anchorCtr="1"/>
                  <a:lstStyle/>
                  <a:p>
                    <a:pPr defTabSz="914400">
                      <a:defRPr lang="zh-CN" sz="900" b="1" i="0" u="none" strike="noStrike" kern="1200" cap="none" spc="0" normalizeH="0" baseline="0">
                        <a:solidFill>
                          <a:schemeClr val="dk1"/>
                        </a:solidFill>
                        <a:uFill>
                          <a:solidFill>
                            <a:schemeClr val="tx1"/>
                          </a:solidFill>
                        </a:uFill>
                        <a:latin typeface="+mn-lt"/>
                        <a:ea typeface="+mn-ea"/>
                        <a:cs typeface="+mn-cs"/>
                      </a:defRPr>
                    </a:pPr>
                    <a:r>
                      <a:rPr sz="1050" b="1" u="none" strike="noStrike" cap="none" normalizeH="0">
                        <a:solidFill>
                          <a:schemeClr val="dk1"/>
                        </a:solidFill>
                        <a:uFill>
                          <a:solidFill>
                            <a:schemeClr val="tx1"/>
                          </a:solidFill>
                        </a:uFill>
                        <a:latin typeface="+mn-lt"/>
                        <a:ea typeface="+mn-ea"/>
                        <a:cs typeface="+mn-cs"/>
                      </a:rPr>
                      <a:t>政策文件类</a:t>
                    </a:r>
                    <a:endParaRPr sz="1050" b="1" u="none" strike="noStrike" cap="none" normalizeH="0">
                      <a:solidFill>
                        <a:schemeClr val="dk1"/>
                      </a:solidFill>
                      <a:uFill>
                        <a:solidFill>
                          <a:schemeClr val="tx1"/>
                        </a:solidFill>
                      </a:uFill>
                      <a:latin typeface="+mn-lt"/>
                      <a:ea typeface="+mn-ea"/>
                      <a:cs typeface="+mn-cs"/>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0625"/>
                      <c:h val="0.0898333333333333"/>
                    </c:manualLayout>
                  </c15:layout>
                </c:ext>
              </c:extLst>
            </c:dLbl>
            <c:dLbl>
              <c:idx val="2"/>
              <c:layout>
                <c:manualLayout>
                  <c:x val="0.027701685641173"/>
                  <c:y val="0.0241066540607891"/>
                </c:manualLayout>
              </c:layout>
              <c:tx>
                <c:rich>
                  <a:bodyPr rot="0" spcFirstLastPara="0" vertOverflow="ellipsis" vert="horz" wrap="square" lIns="38100" tIns="19050" rIns="38100" bIns="19050" anchor="ctr" anchorCtr="1"/>
                  <a:lstStyle/>
                  <a:p>
                    <a:pPr defTabSz="914400">
                      <a:defRPr lang="zh-CN" sz="900" b="1" i="0" u="none" strike="noStrike" kern="1200" cap="none" spc="0" normalizeH="0" baseline="0">
                        <a:solidFill>
                          <a:schemeClr val="dk1"/>
                        </a:solidFill>
                        <a:uFill>
                          <a:solidFill>
                            <a:schemeClr val="tx1"/>
                          </a:solidFill>
                        </a:uFill>
                        <a:latin typeface="+mn-lt"/>
                        <a:ea typeface="+mn-ea"/>
                        <a:cs typeface="+mn-cs"/>
                      </a:defRPr>
                    </a:pPr>
                    <a:r>
                      <a:rPr sz="1050" b="1" u="none" strike="noStrike" cap="none" normalizeH="0">
                        <a:solidFill>
                          <a:schemeClr val="dk1"/>
                        </a:solidFill>
                        <a:uFill>
                          <a:solidFill>
                            <a:schemeClr val="tx1"/>
                          </a:solidFill>
                        </a:uFill>
                        <a:latin typeface="+mn-lt"/>
                        <a:ea typeface="+mn-ea"/>
                        <a:cs typeface="+mn-cs"/>
                      </a:rPr>
                      <a:t>政策解读类</a:t>
                    </a:r>
                    <a:endParaRPr sz="1050" b="1" u="none" strike="noStrike" cap="none" normalizeH="0">
                      <a:solidFill>
                        <a:schemeClr val="dk1"/>
                      </a:solidFill>
                      <a:uFill>
                        <a:solidFill>
                          <a:schemeClr val="tx1"/>
                        </a:solidFill>
                      </a:uFill>
                      <a:latin typeface="+mn-lt"/>
                      <a:ea typeface="+mn-ea"/>
                      <a:cs typeface="+mn-cs"/>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9505005561735"/>
                      <c:h val="0.0920738327904452"/>
                    </c:manualLayout>
                  </c15:layout>
                </c:ext>
              </c:extLst>
            </c:dLbl>
            <c:dLbl>
              <c:idx val="3"/>
              <c:layout>
                <c:manualLayout>
                  <c:x val="0.033836727811439"/>
                  <c:y val="-0.00394149160714504"/>
                </c:manualLayout>
              </c:layout>
              <c:tx>
                <c:rich>
                  <a:bodyPr rot="0" spcFirstLastPara="0" vertOverflow="ellipsis" vert="horz" wrap="square" lIns="38100" tIns="19050" rIns="38100" bIns="19050" anchor="ctr" anchorCtr="1"/>
                  <a:lstStyle/>
                  <a:p>
                    <a:pPr defTabSz="914400">
                      <a:defRPr lang="zh-CN" sz="900" b="1" i="0" u="none" strike="noStrike" kern="1200" cap="none" spc="0" normalizeH="0" baseline="0">
                        <a:solidFill>
                          <a:schemeClr val="dk1"/>
                        </a:solidFill>
                        <a:uFill>
                          <a:solidFill>
                            <a:schemeClr val="tx1"/>
                          </a:solidFill>
                        </a:uFill>
                        <a:latin typeface="+mn-lt"/>
                        <a:ea typeface="+mn-ea"/>
                        <a:cs typeface="+mn-cs"/>
                      </a:defRPr>
                    </a:pPr>
                    <a:r>
                      <a:rPr sz="1050" b="1" u="none" strike="noStrike" cap="none" normalizeH="0">
                        <a:solidFill>
                          <a:schemeClr val="dk1"/>
                        </a:solidFill>
                        <a:uFill>
                          <a:solidFill>
                            <a:schemeClr val="tx1"/>
                          </a:solidFill>
                        </a:uFill>
                        <a:latin typeface="+mn-lt"/>
                        <a:ea typeface="+mn-ea"/>
                        <a:cs typeface="+mn-cs"/>
                      </a:rPr>
                      <a:t>财政预算类</a:t>
                    </a:r>
                    <a:endParaRPr sz="1050" b="1" u="none" strike="noStrike" cap="none" normalizeH="0">
                      <a:solidFill>
                        <a:schemeClr val="dk1"/>
                      </a:solidFill>
                      <a:uFill>
                        <a:solidFill>
                          <a:schemeClr val="tx1"/>
                        </a:solidFill>
                      </a:uFill>
                      <a:latin typeface="+mn-lt"/>
                      <a:ea typeface="+mn-ea"/>
                      <a:cs typeface="+mn-cs"/>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520531873289"/>
                      <c:h val="0.142644873699851"/>
                    </c:manualLayout>
                  </c15:layout>
                </c:ext>
              </c:extLst>
            </c:dLbl>
            <c:dLbl>
              <c:idx val="4"/>
              <c:layout>
                <c:manualLayout>
                  <c:x val="0.217628647880468"/>
                  <c:y val="-0.147015328219557"/>
                </c:manualLayout>
              </c:layout>
              <c:tx>
                <c:rich>
                  <a:bodyPr rot="0" spcFirstLastPara="0" vertOverflow="ellipsis" vert="horz" wrap="square" lIns="38100" tIns="19050" rIns="38100" bIns="19050" anchor="ctr" anchorCtr="1"/>
                  <a:lstStyle/>
                  <a:p>
                    <a:pPr defTabSz="914400">
                      <a:defRPr lang="zh-CN" sz="900" b="1" i="0" u="none" strike="noStrike" kern="1200" cap="none" spc="0" normalizeH="0" baseline="0">
                        <a:solidFill>
                          <a:schemeClr val="dk1"/>
                        </a:solidFill>
                        <a:uFill>
                          <a:solidFill>
                            <a:schemeClr val="tx1"/>
                          </a:solidFill>
                        </a:uFill>
                        <a:latin typeface="+mn-lt"/>
                        <a:ea typeface="+mn-ea"/>
                        <a:cs typeface="+mn-cs"/>
                      </a:defRPr>
                    </a:pPr>
                    <a:r>
                      <a:rPr sz="1050" b="1" u="none" strike="noStrike" cap="none" normalizeH="0">
                        <a:solidFill>
                          <a:schemeClr val="dk1"/>
                        </a:solidFill>
                        <a:uFill>
                          <a:solidFill>
                            <a:schemeClr val="tx1"/>
                          </a:solidFill>
                        </a:uFill>
                        <a:latin typeface="+mn-lt"/>
                        <a:ea typeface="+mn-ea"/>
                        <a:cs typeface="+mn-cs"/>
                      </a:rPr>
                      <a:t>工作开展情况及其他</a:t>
                    </a:r>
                    <a:endParaRPr sz="1050" b="1" u="none" strike="noStrike" cap="none" normalizeH="0">
                      <a:solidFill>
                        <a:schemeClr val="dk1"/>
                      </a:solidFill>
                      <a:uFill>
                        <a:solidFill>
                          <a:schemeClr val="tx1"/>
                        </a:solidFill>
                      </a:uFill>
                      <a:latin typeface="+mn-lt"/>
                      <a:ea typeface="+mn-ea"/>
                      <a:cs typeface="+mn-cs"/>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chemeClr val="dk1"/>
                    </a:solidFill>
                    <a:uFill>
                      <a:solidFill>
                        <a:schemeClr val="tx1"/>
                      </a:solidFill>
                    </a:u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第一季度</c:v>
                </c:pt>
                <c:pt idx="1">
                  <c:v>第二季度</c:v>
                </c:pt>
                <c:pt idx="2">
                  <c:v>第三季度</c:v>
                </c:pt>
                <c:pt idx="3">
                  <c:v>第四季度</c:v>
                </c:pt>
                <c:pt idx="4">
                  <c:v>5</c:v>
                </c:pt>
              </c:strCache>
            </c:strRef>
          </c:cat>
          <c:val>
            <c:numRef>
              <c:f>Sheet1!$B$2:$B$6</c:f>
              <c:numCache>
                <c:formatCode>General</c:formatCode>
                <c:ptCount val="5"/>
                <c:pt idx="0">
                  <c:v>11</c:v>
                </c:pt>
                <c:pt idx="1">
                  <c:v>2</c:v>
                </c:pt>
                <c:pt idx="2">
                  <c:v>7</c:v>
                </c:pt>
                <c:pt idx="3">
                  <c:v>4</c:v>
                </c:pt>
                <c:pt idx="4">
                  <c:v>38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lt1"/>
    </a:solidFill>
    <a:ln w="12700" cap="flat" cmpd="sng" algn="ctr">
      <a:solidFill>
        <a:schemeClr val="accent4"/>
      </a:solidFill>
      <a:prstDash val="solid"/>
      <a:miter lim="800000"/>
    </a:ln>
    <a:effectLst/>
    <a:sp3d>
      <a:extrusionClr>
        <a:srgbClr val="FFFFFF"/>
      </a:extrusionClr>
      <a:contourClr>
        <a:srgbClr val="FFFFFF"/>
      </a:contourClr>
    </a:sp3d>
  </c:spPr>
  <c:txPr>
    <a:bodyPr/>
    <a:lstStyle/>
    <a:p>
      <a:pPr>
        <a:defRPr lang="zh-CN" u="none" strike="noStrike" kern="1200" cap="none" spc="0" normalizeH="0">
          <a:solidFill>
            <a:schemeClr val="dk1"/>
          </a:solidFill>
          <a:uFill>
            <a:solidFill>
              <a:schemeClr val="tx1"/>
            </a:solidFill>
          </a:u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Sheet1!$B$1</c:f>
              <c:strCache>
                <c:ptCount val="1"/>
                <c:pt idx="0">
                  <c:v>系列 3</c:v>
                </c:pt>
              </c:strCache>
            </c:strRef>
          </c:tx>
          <c:spPr>
            <a:solidFill>
              <a:srgbClr val="00B050"/>
            </a:solidFill>
            <a:ln>
              <a:noFill/>
            </a:ln>
            <a:effectLst/>
          </c:spPr>
          <c:invertIfNegative val="0"/>
          <c:dLbls>
            <c:delete val="1"/>
          </c:dLbls>
          <c:cat>
            <c:strRef>
              <c:f>Sheet1!$A$2:$A$5</c:f>
              <c:strCache>
                <c:ptCount val="4"/>
                <c:pt idx="0">
                  <c:v>融媒体类</c:v>
                </c:pt>
                <c:pt idx="1">
                  <c:v>区级融媒体</c:v>
                </c:pt>
                <c:pt idx="2">
                  <c:v>报刊类</c:v>
                </c:pt>
                <c:pt idx="3">
                  <c:v>广播电视类及其他</c:v>
                </c:pt>
              </c:strCache>
            </c:strRef>
          </c:cat>
          <c:val>
            <c:numRef>
              <c:f>Sheet1!$B$2:$B$5</c:f>
              <c:numCache>
                <c:formatCode>General</c:formatCode>
                <c:ptCount val="4"/>
                <c:pt idx="0">
                  <c:v>50</c:v>
                </c:pt>
                <c:pt idx="1">
                  <c:v>65</c:v>
                </c:pt>
                <c:pt idx="2">
                  <c:v>19</c:v>
                </c:pt>
                <c:pt idx="3">
                  <c:v>7</c:v>
                </c:pt>
              </c:numCache>
            </c:numRef>
          </c:val>
        </c:ser>
        <c:dLbls>
          <c:showLegendKey val="0"/>
          <c:showVal val="0"/>
          <c:showCatName val="0"/>
          <c:showSerName val="0"/>
          <c:showPercent val="0"/>
          <c:showBubbleSize val="0"/>
        </c:dLbls>
        <c:gapWidth val="219"/>
        <c:overlap val="-27"/>
        <c:axId val="861781122"/>
        <c:axId val="927230217"/>
      </c:barChart>
      <c:catAx>
        <c:axId val="8617811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dk1"/>
                </a:solidFill>
                <a:uFill>
                  <a:solidFill>
                    <a:schemeClr val="tx1"/>
                  </a:solidFill>
                </a:uFill>
                <a:latin typeface="+mn-lt"/>
                <a:ea typeface="+mn-ea"/>
                <a:cs typeface="+mn-cs"/>
              </a:defRPr>
            </a:pPr>
          </a:p>
        </c:txPr>
        <c:crossAx val="927230217"/>
        <c:crosses val="autoZero"/>
        <c:auto val="1"/>
        <c:lblAlgn val="ctr"/>
        <c:lblOffset val="100"/>
        <c:noMultiLvlLbl val="0"/>
      </c:catAx>
      <c:valAx>
        <c:axId val="9272302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cap="none" spc="0" normalizeH="0" baseline="0">
                <a:solidFill>
                  <a:schemeClr val="dk1"/>
                </a:solidFill>
                <a:uFill>
                  <a:solidFill>
                    <a:schemeClr val="tx1"/>
                  </a:solidFill>
                </a:uFill>
                <a:latin typeface="+mn-lt"/>
                <a:ea typeface="+mn-ea"/>
                <a:cs typeface="+mn-cs"/>
              </a:defRPr>
            </a:pPr>
          </a:p>
        </c:txPr>
        <c:crossAx val="861781122"/>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accent4"/>
      </a:solidFill>
      <a:prstDash val="solid"/>
      <a:miter lim="800000"/>
    </a:ln>
    <a:effectLst/>
    <a:sp3d>
      <a:extrusionClr>
        <a:srgbClr val="FFFFFF"/>
      </a:extrusionClr>
      <a:contourClr>
        <a:srgbClr val="FFFFFF"/>
      </a:contourClr>
    </a:sp3d>
  </c:spPr>
  <c:txPr>
    <a:bodyPr/>
    <a:lstStyle/>
    <a:p>
      <a:pPr>
        <a:defRPr lang="zh-CN" u="none" strike="noStrike" kern="1200" cap="none" spc="0" normalizeH="0">
          <a:solidFill>
            <a:schemeClr val="dk1"/>
          </a:solidFill>
          <a:uFill>
            <a:solidFill>
              <a:schemeClr val="tx1"/>
            </a:solidFill>
          </a:u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3110</Words>
  <Characters>3209</Characters>
  <Lines>0</Lines>
  <Paragraphs>0</Paragraphs>
  <TotalTime>4</TotalTime>
  <ScaleCrop>false</ScaleCrop>
  <LinksUpToDate>false</LinksUpToDate>
  <CharactersWithSpaces>3210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Administrator</cp:lastModifiedBy>
  <cp:lastPrinted>2023-02-03T03:26:00Z</cp:lastPrinted>
  <dcterms:modified xsi:type="dcterms:W3CDTF">2023-02-09T08:18:00Z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07831734C0BC4CA1B94A453E5D6EA5E4</vt:lpwstr>
  </property>
</Properties>
</file>