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val="0"/>
          <w:bCs/>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pPr>
      <w:r>
        <w:rPr>
          <w:rFonts w:hint="eastAsia" w:ascii="方正小标宋简体" w:hAnsi="方正小标宋简体" w:eastAsia="方正小标宋简体" w:cs="方正小标宋简体"/>
          <w:b/>
          <w:bCs w:val="0"/>
          <w:i w:val="0"/>
          <w:caps w:val="0"/>
          <w:color w:val="333333"/>
          <w:spacing w:val="0"/>
          <w:sz w:val="44"/>
          <w:szCs w:val="44"/>
          <w:shd w:val="clear" w:fill="FFFFFF"/>
          <w:lang w:eastAsia="zh-CN"/>
        </w:rPr>
        <w:t>太白湖新区党工委政法委员会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outlineLvl w:val="9"/>
        <w:rPr>
          <w:rFonts w:hint="eastAsia" w:ascii="方正小标宋简体" w:hAnsi="方正小标宋简体" w:eastAsia="方正小标宋简体" w:cs="方正小标宋简体"/>
          <w:b/>
          <w:bCs w:val="0"/>
          <w:i w:val="0"/>
          <w:caps w:val="0"/>
          <w:color w:val="333333"/>
          <w:spacing w:val="0"/>
          <w:sz w:val="44"/>
          <w:szCs w:val="44"/>
        </w:rPr>
      </w:pPr>
      <w:r>
        <w:rPr>
          <w:rFonts w:hint="eastAsia" w:ascii="方正小标宋简体" w:hAnsi="方正小标宋简体" w:eastAsia="方正小标宋简体" w:cs="方正小标宋简体"/>
          <w:b/>
          <w:bCs w:val="0"/>
          <w:i w:val="0"/>
          <w:caps w:val="0"/>
          <w:color w:val="333333"/>
          <w:spacing w:val="-17"/>
          <w:sz w:val="44"/>
          <w:szCs w:val="44"/>
          <w:shd w:val="clear" w:fill="FFFFFF"/>
          <w:lang w:val="en-US" w:eastAsia="zh-CN"/>
        </w:rPr>
        <w:t>2023年</w:t>
      </w:r>
      <w:r>
        <w:rPr>
          <w:rFonts w:hint="eastAsia" w:ascii="方正小标宋简体" w:hAnsi="方正小标宋简体" w:eastAsia="方正小标宋简体" w:cs="方正小标宋简体"/>
          <w:b/>
          <w:bCs w:val="0"/>
          <w:i w:val="0"/>
          <w:caps w:val="0"/>
          <w:color w:val="333333"/>
          <w:spacing w:val="-17"/>
          <w:sz w:val="44"/>
          <w:szCs w:val="44"/>
          <w:shd w:val="clear" w:fill="FFFFFF"/>
        </w:rPr>
        <w:t>政府信息公开工作</w:t>
      </w:r>
      <w:r>
        <w:rPr>
          <w:rFonts w:hint="eastAsia" w:ascii="方正小标宋简体" w:hAnsi="方正小标宋简体" w:eastAsia="方正小标宋简体" w:cs="方正小标宋简体"/>
          <w:b/>
          <w:bCs w:val="0"/>
          <w:i w:val="0"/>
          <w:caps w:val="0"/>
          <w:color w:val="333333"/>
          <w:spacing w:val="0"/>
          <w:sz w:val="44"/>
          <w:szCs w:val="44"/>
          <w:shd w:val="clear" w:fill="FFFFFF"/>
        </w:rPr>
        <w:t>年度报告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spacing w:before="0" w:beforeAutospacing="0" w:after="0" w:afterAutospacing="0" w:line="600" w:lineRule="atLeast"/>
        <w:ind w:left="0" w:right="0" w:firstLine="645"/>
        <w:rPr>
          <w:rFonts w:ascii="sans-serif" w:hAnsi="sans-serif" w:eastAsia="sans-serif" w:cs="sans-serif"/>
          <w:i w:val="0"/>
          <w:iCs w:val="0"/>
          <w:caps w:val="0"/>
          <w:color w:val="000000"/>
          <w:spacing w:val="0"/>
          <w:sz w:val="27"/>
          <w:szCs w:val="27"/>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本报告由</w:t>
      </w:r>
      <w:r>
        <w:rPr>
          <w:rStyle w:val="6"/>
          <w:rFonts w:ascii="方正仿宋简体" w:hAnsi="方正仿宋简体" w:eastAsia="方正仿宋简体" w:cs="方正仿宋简体"/>
          <w:i w:val="0"/>
          <w:iCs w:val="0"/>
          <w:caps w:val="0"/>
          <w:color w:val="000000"/>
          <w:spacing w:val="0"/>
          <w:sz w:val="31"/>
          <w:szCs w:val="31"/>
        </w:rPr>
        <w:t>区</w:t>
      </w:r>
      <w:r>
        <w:rPr>
          <w:rStyle w:val="6"/>
          <w:rFonts w:hint="eastAsia" w:ascii="方正仿宋简体" w:hAnsi="方正仿宋简体" w:eastAsia="方正仿宋简体" w:cs="方正仿宋简体"/>
          <w:i w:val="0"/>
          <w:iCs w:val="0"/>
          <w:caps w:val="0"/>
          <w:color w:val="000000"/>
          <w:spacing w:val="0"/>
          <w:sz w:val="31"/>
          <w:szCs w:val="31"/>
          <w:lang w:eastAsia="zh-CN"/>
        </w:rPr>
        <w:t>党工委政法委员会</w:t>
      </w:r>
      <w:r>
        <w:rPr>
          <w:rStyle w:val="6"/>
          <w:rFonts w:hint="eastAsia" w:ascii="方正仿宋简体" w:hAnsi="方正仿宋简体" w:eastAsia="方正仿宋简体" w:cs="方正仿宋简体"/>
          <w:i w:val="0"/>
          <w:iCs w:val="0"/>
          <w:caps w:val="0"/>
          <w:color w:val="000000"/>
          <w:spacing w:val="0"/>
          <w:sz w:val="31"/>
          <w:szCs w:val="31"/>
        </w:rPr>
        <w:t>按照《中华人民共和国政府信息公开条例》（以下简称《条例》）和《中华人民共和国政府信息公开工作年度报告格式》（国办公开办函〔</w:t>
      </w:r>
      <w:r>
        <w:rPr>
          <w:rStyle w:val="6"/>
          <w:rFonts w:hint="default" w:ascii="Times New Roman" w:hAnsi="Times New Roman" w:eastAsia="sans-serif" w:cs="Times New Roman"/>
          <w:i w:val="0"/>
          <w:iCs w:val="0"/>
          <w:caps w:val="0"/>
          <w:color w:val="000000"/>
          <w:spacing w:val="0"/>
          <w:sz w:val="31"/>
          <w:szCs w:val="31"/>
        </w:rPr>
        <w:t>2021</w:t>
      </w:r>
      <w:r>
        <w:rPr>
          <w:rStyle w:val="6"/>
          <w:rFonts w:hint="eastAsia" w:ascii="方正仿宋简体" w:hAnsi="方正仿宋简体" w:eastAsia="方正仿宋简体" w:cs="方正仿宋简体"/>
          <w:i w:val="0"/>
          <w:iCs w:val="0"/>
          <w:caps w:val="0"/>
          <w:color w:val="000000"/>
          <w:spacing w:val="0"/>
          <w:sz w:val="31"/>
          <w:szCs w:val="31"/>
        </w:rPr>
        <w:t>〕</w:t>
      </w:r>
      <w:r>
        <w:rPr>
          <w:rStyle w:val="6"/>
          <w:rFonts w:hint="default" w:ascii="Times New Roman" w:hAnsi="Times New Roman" w:eastAsia="sans-serif" w:cs="Times New Roman"/>
          <w:i w:val="0"/>
          <w:iCs w:val="0"/>
          <w:caps w:val="0"/>
          <w:color w:val="000000"/>
          <w:spacing w:val="0"/>
          <w:sz w:val="31"/>
          <w:szCs w:val="31"/>
        </w:rPr>
        <w:t>30</w:t>
      </w:r>
      <w:r>
        <w:rPr>
          <w:rStyle w:val="6"/>
          <w:rFonts w:hint="eastAsia" w:ascii="方正仿宋简体" w:hAnsi="方正仿宋简体" w:eastAsia="方正仿宋简体" w:cs="方正仿宋简体"/>
          <w:i w:val="0"/>
          <w:iCs w:val="0"/>
          <w:caps w:val="0"/>
          <w:color w:val="000000"/>
          <w:spacing w:val="0"/>
          <w:sz w:val="31"/>
          <w:szCs w:val="31"/>
        </w:rPr>
        <w:t>号）要求编制。</w:t>
      </w:r>
    </w:p>
    <w:p>
      <w:pPr>
        <w:pStyle w:val="3"/>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w:t>
      </w:r>
      <w:r>
        <w:rPr>
          <w:rStyle w:val="6"/>
          <w:rFonts w:hint="eastAsia" w:ascii="方正仿宋简体" w:hAnsi="方正仿宋简体" w:eastAsia="方正仿宋简体" w:cs="方正仿宋简体"/>
          <w:i w:val="0"/>
          <w:iCs w:val="0"/>
          <w:caps w:val="0"/>
          <w:color w:val="000000"/>
          <w:spacing w:val="0"/>
          <w:sz w:val="31"/>
          <w:szCs w:val="31"/>
        </w:rPr>
        <w:t>内容包括总体情况、主动公开政府信息情况、收到和处理政府信息公开申请情况、政府信息公开行政复议和行政诉讼情况、存在的主要问题及改进情况、其他需要报告的事项等六部分内容。</w:t>
      </w:r>
    </w:p>
    <w:p>
      <w:pPr>
        <w:pStyle w:val="3"/>
        <w:keepNext w:val="0"/>
        <w:keepLines w:val="0"/>
        <w:widowControl/>
        <w:suppressLineNumbers w:val="0"/>
        <w:spacing w:before="0" w:beforeAutospacing="0" w:after="0" w:afterAutospacing="0" w:line="600" w:lineRule="atLeast"/>
        <w:ind w:left="0" w:right="0" w:firstLine="645"/>
        <w:rPr>
          <w:rFonts w:hint="eastAsia" w:ascii="方正公文黑体" w:hAnsi="方正公文黑体" w:eastAsia="方正公文黑体" w:cs="方正公文黑体"/>
          <w:b/>
          <w:i w:val="0"/>
          <w:caps w:val="0"/>
          <w:color w:val="333333"/>
          <w:spacing w:val="0"/>
          <w:sz w:val="32"/>
          <w:szCs w:val="32"/>
          <w:shd w:val="clear" w:fill="FFFFFF"/>
        </w:rPr>
      </w:pPr>
      <w:r>
        <w:rPr>
          <w:rStyle w:val="6"/>
          <w:rFonts w:hint="eastAsia" w:ascii="方正仿宋简体" w:hAnsi="方正仿宋简体" w:eastAsia="方正仿宋简体" w:cs="方正仿宋简体"/>
          <w:i w:val="0"/>
          <w:iCs w:val="0"/>
          <w:caps w:val="0"/>
          <w:color w:val="000000"/>
          <w:spacing w:val="0"/>
          <w:sz w:val="31"/>
          <w:szCs w:val="31"/>
          <w:lang w:eastAsia="zh-CN"/>
        </w:rPr>
        <w:t>本报告</w:t>
      </w:r>
      <w:r>
        <w:rPr>
          <w:rStyle w:val="6"/>
          <w:rFonts w:hint="eastAsia" w:ascii="方正仿宋简体" w:hAnsi="方正仿宋简体" w:eastAsia="方正仿宋简体" w:cs="方正仿宋简体"/>
          <w:i w:val="0"/>
          <w:iCs w:val="0"/>
          <w:caps w:val="0"/>
          <w:color w:val="000000"/>
          <w:spacing w:val="0"/>
          <w:sz w:val="31"/>
          <w:szCs w:val="31"/>
        </w:rPr>
        <w:t>所列数据的统计期限自</w:t>
      </w:r>
      <w:r>
        <w:rPr>
          <w:rStyle w:val="6"/>
          <w:rFonts w:hint="default" w:ascii="Times New Roman" w:hAnsi="Times New Roman" w:eastAsia="sans-serif" w:cs="Times New Roman"/>
          <w:i w:val="0"/>
          <w:iCs w:val="0"/>
          <w:caps w:val="0"/>
          <w:color w:val="000000"/>
          <w:spacing w:val="0"/>
          <w:sz w:val="31"/>
          <w:szCs w:val="31"/>
        </w:rPr>
        <w:t>202</w:t>
      </w:r>
      <w:r>
        <w:rPr>
          <w:rStyle w:val="6"/>
          <w:rFonts w:hint="eastAsia" w:ascii="Times New Roman" w:hAnsi="Times New Roman" w:eastAsia="宋体" w:cs="Times New Roman"/>
          <w:i w:val="0"/>
          <w:iCs w:val="0"/>
          <w:caps w:val="0"/>
          <w:color w:val="000000"/>
          <w:spacing w:val="0"/>
          <w:sz w:val="31"/>
          <w:szCs w:val="31"/>
          <w:lang w:val="en-US" w:eastAsia="zh-CN"/>
        </w:rPr>
        <w:t>3</w:t>
      </w:r>
      <w:r>
        <w:rPr>
          <w:rStyle w:val="6"/>
          <w:rFonts w:hint="eastAsia" w:ascii="方正仿宋简体" w:hAnsi="方正仿宋简体" w:eastAsia="方正仿宋简体" w:cs="方正仿宋简体"/>
          <w:i w:val="0"/>
          <w:iCs w:val="0"/>
          <w:caps w:val="0"/>
          <w:color w:val="000000"/>
          <w:spacing w:val="0"/>
          <w:sz w:val="31"/>
          <w:szCs w:val="31"/>
        </w:rPr>
        <w:t>年</w:t>
      </w:r>
      <w:r>
        <w:rPr>
          <w:rStyle w:val="6"/>
          <w:rFonts w:hint="default" w:ascii="Times New Roman" w:hAnsi="Times New Roman" w:eastAsia="sans-serif" w:cs="Times New Roman"/>
          <w:i w:val="0"/>
          <w:iCs w:val="0"/>
          <w:caps w:val="0"/>
          <w:color w:val="000000"/>
          <w:spacing w:val="0"/>
          <w:sz w:val="31"/>
          <w:szCs w:val="31"/>
        </w:rPr>
        <w:t>1</w:t>
      </w:r>
      <w:r>
        <w:rPr>
          <w:rStyle w:val="6"/>
          <w:rFonts w:hint="eastAsia" w:ascii="方正仿宋简体" w:hAnsi="方正仿宋简体" w:eastAsia="方正仿宋简体" w:cs="方正仿宋简体"/>
          <w:i w:val="0"/>
          <w:iCs w:val="0"/>
          <w:caps w:val="0"/>
          <w:color w:val="000000"/>
          <w:spacing w:val="0"/>
          <w:sz w:val="31"/>
          <w:szCs w:val="31"/>
        </w:rPr>
        <w:t>月</w:t>
      </w:r>
      <w:r>
        <w:rPr>
          <w:rStyle w:val="6"/>
          <w:rFonts w:hint="default" w:ascii="Times New Roman" w:hAnsi="Times New Roman" w:eastAsia="sans-serif" w:cs="Times New Roman"/>
          <w:i w:val="0"/>
          <w:iCs w:val="0"/>
          <w:caps w:val="0"/>
          <w:color w:val="000000"/>
          <w:spacing w:val="0"/>
          <w:sz w:val="31"/>
          <w:szCs w:val="31"/>
        </w:rPr>
        <w:t>1</w:t>
      </w:r>
      <w:r>
        <w:rPr>
          <w:rStyle w:val="6"/>
          <w:rFonts w:hint="eastAsia" w:ascii="方正仿宋简体" w:hAnsi="方正仿宋简体" w:eastAsia="方正仿宋简体" w:cs="方正仿宋简体"/>
          <w:i w:val="0"/>
          <w:iCs w:val="0"/>
          <w:caps w:val="0"/>
          <w:color w:val="000000"/>
          <w:spacing w:val="0"/>
          <w:sz w:val="31"/>
          <w:szCs w:val="31"/>
        </w:rPr>
        <w:t>日起至</w:t>
      </w:r>
      <w:r>
        <w:rPr>
          <w:rStyle w:val="6"/>
          <w:rFonts w:hint="default" w:ascii="Times New Roman" w:hAnsi="Times New Roman" w:eastAsia="sans-serif" w:cs="Times New Roman"/>
          <w:i w:val="0"/>
          <w:iCs w:val="0"/>
          <w:caps w:val="0"/>
          <w:color w:val="000000"/>
          <w:spacing w:val="0"/>
          <w:sz w:val="31"/>
          <w:szCs w:val="31"/>
        </w:rPr>
        <w:t>202</w:t>
      </w:r>
      <w:r>
        <w:rPr>
          <w:rStyle w:val="6"/>
          <w:rFonts w:hint="eastAsia" w:ascii="Times New Roman" w:hAnsi="Times New Roman" w:eastAsia="宋体" w:cs="Times New Roman"/>
          <w:i w:val="0"/>
          <w:iCs w:val="0"/>
          <w:caps w:val="0"/>
          <w:color w:val="000000"/>
          <w:spacing w:val="0"/>
          <w:sz w:val="31"/>
          <w:szCs w:val="31"/>
          <w:lang w:val="en-US" w:eastAsia="zh-CN"/>
        </w:rPr>
        <w:t>3</w:t>
      </w:r>
      <w:r>
        <w:rPr>
          <w:rStyle w:val="6"/>
          <w:rFonts w:hint="eastAsia" w:ascii="方正仿宋简体" w:hAnsi="方正仿宋简体" w:eastAsia="方正仿宋简体" w:cs="方正仿宋简体"/>
          <w:i w:val="0"/>
          <w:iCs w:val="0"/>
          <w:caps w:val="0"/>
          <w:color w:val="000000"/>
          <w:spacing w:val="0"/>
          <w:sz w:val="31"/>
          <w:szCs w:val="31"/>
        </w:rPr>
        <w:t>年</w:t>
      </w:r>
      <w:r>
        <w:rPr>
          <w:rStyle w:val="6"/>
          <w:rFonts w:hint="default" w:ascii="Times New Roman" w:hAnsi="Times New Roman" w:eastAsia="sans-serif" w:cs="Times New Roman"/>
          <w:i w:val="0"/>
          <w:iCs w:val="0"/>
          <w:caps w:val="0"/>
          <w:color w:val="000000"/>
          <w:spacing w:val="0"/>
          <w:sz w:val="31"/>
          <w:szCs w:val="31"/>
        </w:rPr>
        <w:t>12</w:t>
      </w:r>
      <w:r>
        <w:rPr>
          <w:rStyle w:val="6"/>
          <w:rFonts w:hint="eastAsia" w:ascii="方正仿宋简体" w:hAnsi="方正仿宋简体" w:eastAsia="方正仿宋简体" w:cs="方正仿宋简体"/>
          <w:i w:val="0"/>
          <w:iCs w:val="0"/>
          <w:caps w:val="0"/>
          <w:color w:val="000000"/>
          <w:spacing w:val="0"/>
          <w:sz w:val="31"/>
          <w:szCs w:val="31"/>
        </w:rPr>
        <w:t>月</w:t>
      </w:r>
      <w:r>
        <w:rPr>
          <w:rStyle w:val="6"/>
          <w:rFonts w:hint="default" w:ascii="Times New Roman" w:hAnsi="Times New Roman" w:eastAsia="sans-serif" w:cs="Times New Roman"/>
          <w:i w:val="0"/>
          <w:iCs w:val="0"/>
          <w:caps w:val="0"/>
          <w:color w:val="000000"/>
          <w:spacing w:val="0"/>
          <w:sz w:val="31"/>
          <w:szCs w:val="31"/>
        </w:rPr>
        <w:t>31</w:t>
      </w:r>
      <w:r>
        <w:rPr>
          <w:rStyle w:val="6"/>
          <w:rFonts w:hint="eastAsia" w:ascii="方正仿宋简体" w:hAnsi="方正仿宋简体" w:eastAsia="方正仿宋简体" w:cs="方正仿宋简体"/>
          <w:i w:val="0"/>
          <w:iCs w:val="0"/>
          <w:caps w:val="0"/>
          <w:color w:val="000000"/>
          <w:spacing w:val="0"/>
          <w:sz w:val="31"/>
          <w:szCs w:val="31"/>
        </w:rPr>
        <w:t>日止。本报告电子版可在“中国·济宁”政府门户网站（http://bhdjq.jining.gov.cn/）查阅或下载</w:t>
      </w:r>
      <w:r>
        <w:rPr>
          <w:rStyle w:val="6"/>
          <w:rFonts w:hint="eastAsia" w:ascii="方正仿宋简体" w:hAnsi="方正仿宋简体" w:eastAsia="方正仿宋简体" w:cs="方正仿宋简体"/>
          <w:i w:val="0"/>
          <w:iCs w:val="0"/>
          <w:caps w:val="0"/>
          <w:color w:val="000000"/>
          <w:spacing w:val="0"/>
          <w:sz w:val="31"/>
          <w:szCs w:val="31"/>
          <w:lang w:eastAsia="zh-CN"/>
        </w:rPr>
        <w:t>。</w:t>
      </w:r>
      <w:r>
        <w:rPr>
          <w:rStyle w:val="6"/>
          <w:rFonts w:hint="eastAsia" w:ascii="方正仿宋简体" w:hAnsi="方正仿宋简体" w:eastAsia="方正仿宋简体" w:cs="方正仿宋简体"/>
          <w:i w:val="0"/>
          <w:iCs w:val="0"/>
          <w:caps w:val="0"/>
          <w:color w:val="000000"/>
          <w:spacing w:val="0"/>
          <w:sz w:val="31"/>
          <w:szCs w:val="31"/>
        </w:rPr>
        <w:t>如对本报告有疑问，请与</w:t>
      </w:r>
      <w:r>
        <w:rPr>
          <w:rStyle w:val="6"/>
          <w:rFonts w:hint="eastAsia" w:ascii="方正仿宋简体" w:hAnsi="方正仿宋简体" w:eastAsia="方正仿宋简体" w:cs="方正仿宋简体"/>
          <w:i w:val="0"/>
          <w:iCs w:val="0"/>
          <w:caps w:val="0"/>
          <w:color w:val="000000"/>
          <w:spacing w:val="0"/>
          <w:sz w:val="31"/>
          <w:szCs w:val="31"/>
          <w:lang w:eastAsia="zh-CN"/>
        </w:rPr>
        <w:t>区党工委政法委员会</w:t>
      </w:r>
      <w:r>
        <w:rPr>
          <w:rStyle w:val="6"/>
          <w:rFonts w:hint="eastAsia" w:ascii="方正仿宋简体" w:hAnsi="方正仿宋简体" w:eastAsia="方正仿宋简体" w:cs="方正仿宋简体"/>
          <w:i w:val="0"/>
          <w:iCs w:val="0"/>
          <w:caps w:val="0"/>
          <w:color w:val="000000"/>
          <w:spacing w:val="0"/>
          <w:sz w:val="31"/>
          <w:szCs w:val="31"/>
        </w:rPr>
        <w:t>综合科联系（地址：新城发展</w:t>
      </w:r>
      <w:r>
        <w:rPr>
          <w:rStyle w:val="6"/>
          <w:rFonts w:hint="default" w:ascii="Times New Roman" w:hAnsi="Times New Roman" w:eastAsia="sans-serif" w:cs="Times New Roman"/>
          <w:i w:val="0"/>
          <w:iCs w:val="0"/>
          <w:caps w:val="0"/>
          <w:color w:val="000000"/>
          <w:spacing w:val="0"/>
          <w:sz w:val="31"/>
          <w:szCs w:val="31"/>
        </w:rPr>
        <w:t>A</w:t>
      </w:r>
      <w:r>
        <w:rPr>
          <w:rStyle w:val="6"/>
          <w:rFonts w:hint="eastAsia" w:ascii="方正仿宋简体" w:hAnsi="方正仿宋简体" w:eastAsia="方正仿宋简体" w:cs="方正仿宋简体"/>
          <w:i w:val="0"/>
          <w:iCs w:val="0"/>
          <w:caps w:val="0"/>
          <w:color w:val="000000"/>
          <w:spacing w:val="0"/>
          <w:sz w:val="31"/>
          <w:szCs w:val="31"/>
        </w:rPr>
        <w:t>座</w:t>
      </w:r>
      <w:r>
        <w:rPr>
          <w:rStyle w:val="6"/>
          <w:rFonts w:hint="default" w:ascii="Times New Roman" w:hAnsi="Times New Roman" w:eastAsia="sans-serif" w:cs="Times New Roman"/>
          <w:i w:val="0"/>
          <w:iCs w:val="0"/>
          <w:caps w:val="0"/>
          <w:color w:val="000000"/>
          <w:spacing w:val="0"/>
          <w:sz w:val="31"/>
          <w:szCs w:val="31"/>
        </w:rPr>
        <w:t>1005</w:t>
      </w:r>
      <w:r>
        <w:rPr>
          <w:rStyle w:val="6"/>
          <w:rFonts w:hint="eastAsia" w:ascii="方正仿宋简体" w:hAnsi="方正仿宋简体" w:eastAsia="方正仿宋简体" w:cs="方正仿宋简体"/>
          <w:i w:val="0"/>
          <w:iCs w:val="0"/>
          <w:caps w:val="0"/>
          <w:color w:val="000000"/>
          <w:spacing w:val="0"/>
          <w:sz w:val="31"/>
          <w:szCs w:val="31"/>
        </w:rPr>
        <w:t>室，联系电话：</w:t>
      </w:r>
      <w:r>
        <w:rPr>
          <w:rStyle w:val="6"/>
          <w:rFonts w:hint="default" w:ascii="Times New Roman" w:hAnsi="Times New Roman" w:eastAsia="sans-serif" w:cs="Times New Roman"/>
          <w:i w:val="0"/>
          <w:iCs w:val="0"/>
          <w:caps w:val="0"/>
          <w:color w:val="000000"/>
          <w:spacing w:val="0"/>
          <w:sz w:val="31"/>
          <w:szCs w:val="31"/>
        </w:rPr>
        <w:t>0537-6537056</w:t>
      </w:r>
      <w:r>
        <w:rPr>
          <w:rStyle w:val="6"/>
          <w:rFonts w:hint="eastAsia" w:ascii="方正仿宋简体" w:hAnsi="方正仿宋简体" w:eastAsia="方正仿宋简体" w:cs="方正仿宋简体"/>
          <w:i w:val="0"/>
          <w:iCs w:val="0"/>
          <w:caps w:val="0"/>
          <w:color w:val="000000"/>
          <w:spacing w:val="0"/>
          <w:sz w:val="31"/>
          <w:szCs w:val="31"/>
        </w:rPr>
        <w:t>）。</w:t>
      </w:r>
    </w:p>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一、总体情况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highlight w:val="none"/>
        </w:rPr>
      </w:pPr>
      <w:r>
        <w:rPr>
          <w:rFonts w:hint="default" w:ascii="Times New Roman" w:hAnsi="Times New Roman" w:eastAsia="方正仿宋简体" w:cs="Times New Roman"/>
          <w:b/>
          <w:color w:val="000000"/>
          <w:kern w:val="0"/>
          <w:sz w:val="32"/>
          <w:szCs w:val="32"/>
          <w:lang w:val="en-US" w:eastAsia="zh-CN"/>
        </w:rPr>
        <w:t>202</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lang w:val="en-US" w:eastAsia="zh-CN"/>
        </w:rPr>
        <w:t>年</w:t>
      </w:r>
      <w:r>
        <w:rPr>
          <w:rFonts w:hint="eastAsia" w:ascii="Times New Roman" w:hAnsi="Times New Roman" w:eastAsia="方正仿宋简体" w:cs="Times New Roman"/>
          <w:b/>
          <w:color w:val="000000"/>
          <w:kern w:val="0"/>
          <w:sz w:val="32"/>
          <w:szCs w:val="32"/>
          <w:lang w:val="en-US" w:eastAsia="zh-CN"/>
        </w:rPr>
        <w:t>区党工委政法委员会</w:t>
      </w:r>
      <w:r>
        <w:rPr>
          <w:rFonts w:hint="default" w:ascii="Times New Roman" w:hAnsi="Times New Roman" w:eastAsia="方正仿宋简体" w:cs="Times New Roman"/>
          <w:b/>
          <w:color w:val="000000"/>
          <w:kern w:val="0"/>
          <w:sz w:val="32"/>
          <w:szCs w:val="32"/>
        </w:rPr>
        <w:t>认真执行《中华人民共和国政府信息公开条例》（以下简称《条例》）</w:t>
      </w:r>
      <w:r>
        <w:rPr>
          <w:rFonts w:hint="default" w:ascii="Times New Roman" w:hAnsi="Times New Roman" w:eastAsia="方正仿宋简体" w:cs="Times New Roman"/>
          <w:b/>
          <w:color w:val="000000"/>
          <w:kern w:val="0"/>
          <w:sz w:val="32"/>
          <w:szCs w:val="32"/>
          <w:lang w:eastAsia="zh-CN"/>
        </w:rPr>
        <w:t>要求</w:t>
      </w:r>
      <w:r>
        <w:rPr>
          <w:rFonts w:hint="default" w:ascii="Times New Roman" w:hAnsi="Times New Roman" w:eastAsia="方正仿宋简体" w:cs="Times New Roman"/>
          <w:b/>
          <w:color w:val="000000"/>
          <w:kern w:val="0"/>
          <w:sz w:val="32"/>
          <w:szCs w:val="32"/>
        </w:rPr>
        <w:t>，</w:t>
      </w:r>
      <w:r>
        <w:rPr>
          <w:rFonts w:hint="eastAsia" w:ascii="Times New Roman" w:hAnsi="Times New Roman" w:eastAsia="方正仿宋简体" w:cs="Times New Roman"/>
          <w:b/>
          <w:color w:val="000000"/>
          <w:kern w:val="0"/>
          <w:sz w:val="32"/>
          <w:szCs w:val="32"/>
          <w:lang w:eastAsia="zh-CN"/>
        </w:rPr>
        <w:t>结合单位工作职责，</w:t>
      </w:r>
      <w:r>
        <w:rPr>
          <w:rFonts w:hint="eastAsia" w:ascii="Times New Roman" w:hAnsi="Times New Roman" w:eastAsia="方正仿宋简体" w:cs="Times New Roman"/>
          <w:b/>
          <w:color w:val="000000"/>
          <w:kern w:val="0"/>
          <w:sz w:val="32"/>
          <w:szCs w:val="32"/>
          <w:lang w:val="en-US" w:eastAsia="zh-CN"/>
        </w:rPr>
        <w:t>不断拓宽政府信息公开渠道，确保信息公开制度化、规范</w:t>
      </w:r>
      <w:r>
        <w:rPr>
          <w:rFonts w:hint="eastAsia" w:ascii="Times New Roman" w:hAnsi="Times New Roman" w:eastAsia="方正仿宋简体" w:cs="Times New Roman"/>
          <w:b/>
          <w:color w:val="000000"/>
          <w:kern w:val="0"/>
          <w:sz w:val="32"/>
          <w:szCs w:val="32"/>
          <w:highlight w:val="none"/>
          <w:lang w:val="en-US" w:eastAsia="zh-CN"/>
        </w:rPr>
        <w:t>化、透明化，</w:t>
      </w:r>
      <w:r>
        <w:rPr>
          <w:rFonts w:hint="default" w:ascii="Times New Roman" w:hAnsi="Times New Roman" w:eastAsia="方正仿宋简体" w:cs="Times New Roman"/>
          <w:b/>
          <w:color w:val="000000"/>
          <w:kern w:val="0"/>
          <w:sz w:val="32"/>
          <w:szCs w:val="32"/>
          <w:highlight w:val="none"/>
        </w:rPr>
        <w:t>提升政务公开的质量和实效。</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eastAsia="zh-CN"/>
        </w:rPr>
        <w:t>（一）主动公开情况</w:t>
      </w:r>
      <w:r>
        <w:rPr>
          <w:rFonts w:hint="eastAsia" w:ascii="方正楷体简体" w:hAnsi="Times New Roman" w:eastAsia="方正楷体简体" w:cs="Times New Roman"/>
          <w:b/>
          <w:color w:val="000000"/>
          <w:kern w:val="0"/>
          <w:sz w:val="32"/>
          <w:szCs w:val="32"/>
          <w:lang w:val="en-US" w:eastAsia="zh-CN"/>
        </w:rPr>
        <w:t xml:space="preserve"> </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highlight w:val="none"/>
          <w:lang w:val="en-US" w:eastAsia="zh-CN"/>
        </w:rPr>
      </w:pPr>
      <w:r>
        <w:rPr>
          <w:rFonts w:hint="default" w:ascii="Times New Roman" w:hAnsi="Times New Roman" w:eastAsia="方正仿宋简体" w:cs="Times New Roman"/>
          <w:b/>
          <w:color w:val="000000"/>
          <w:kern w:val="0"/>
          <w:sz w:val="32"/>
          <w:szCs w:val="32"/>
        </w:rPr>
        <w:t>202</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rPr>
        <w:t>年，区</w:t>
      </w:r>
      <w:r>
        <w:rPr>
          <w:rFonts w:hint="eastAsia" w:ascii="Times New Roman" w:hAnsi="Times New Roman" w:eastAsia="方正仿宋简体" w:cs="Times New Roman"/>
          <w:b/>
          <w:color w:val="000000"/>
          <w:kern w:val="0"/>
          <w:sz w:val="32"/>
          <w:szCs w:val="32"/>
          <w:lang w:eastAsia="zh-CN"/>
        </w:rPr>
        <w:t>党工委</w:t>
      </w:r>
      <w:r>
        <w:rPr>
          <w:rFonts w:hint="default" w:ascii="Times New Roman" w:hAnsi="Times New Roman" w:eastAsia="方正仿宋简体" w:cs="Times New Roman"/>
          <w:b/>
          <w:color w:val="000000"/>
          <w:kern w:val="0"/>
          <w:sz w:val="32"/>
          <w:szCs w:val="32"/>
          <w:lang w:eastAsia="zh-CN"/>
        </w:rPr>
        <w:t>政法</w:t>
      </w:r>
      <w:r>
        <w:rPr>
          <w:rFonts w:hint="default" w:ascii="Times New Roman" w:hAnsi="Times New Roman" w:eastAsia="方正仿宋简体" w:cs="Times New Roman"/>
          <w:b/>
          <w:color w:val="000000"/>
          <w:kern w:val="0"/>
          <w:sz w:val="32"/>
          <w:szCs w:val="32"/>
          <w:lang w:val="en-US" w:eastAsia="zh-CN"/>
        </w:rPr>
        <w:t>委</w:t>
      </w:r>
      <w:r>
        <w:rPr>
          <w:rFonts w:hint="eastAsia" w:ascii="Times New Roman" w:hAnsi="Times New Roman" w:eastAsia="方正仿宋简体" w:cs="Times New Roman"/>
          <w:b/>
          <w:color w:val="000000"/>
          <w:kern w:val="0"/>
          <w:sz w:val="32"/>
          <w:szCs w:val="32"/>
          <w:lang w:val="en-US" w:eastAsia="zh-CN"/>
        </w:rPr>
        <w:t>员会</w:t>
      </w:r>
      <w:r>
        <w:rPr>
          <w:rFonts w:hint="default" w:ascii="Times New Roman" w:hAnsi="Times New Roman" w:eastAsia="方正仿宋简体" w:cs="Times New Roman"/>
          <w:b/>
          <w:color w:val="000000"/>
          <w:kern w:val="0"/>
          <w:sz w:val="32"/>
          <w:szCs w:val="32"/>
          <w:lang w:val="en-US" w:eastAsia="zh-CN"/>
        </w:rPr>
        <w:t>在济宁市太白湖新区管理委员会政府信息公开门户网站主动公开政府信息</w:t>
      </w:r>
      <w:r>
        <w:rPr>
          <w:rFonts w:hint="default" w:ascii="Times New Roman" w:hAnsi="Times New Roman" w:eastAsia="方正仿宋简体" w:cs="Times New Roman"/>
          <w:b/>
          <w:color w:val="000000"/>
          <w:kern w:val="0"/>
          <w:sz w:val="32"/>
          <w:szCs w:val="32"/>
          <w:highlight w:val="none"/>
          <w:lang w:val="en-US" w:eastAsia="zh-CN"/>
        </w:rPr>
        <w:t>共</w:t>
      </w:r>
      <w:r>
        <w:rPr>
          <w:rFonts w:hint="eastAsia" w:ascii="Times New Roman" w:hAnsi="Times New Roman" w:eastAsia="方正仿宋简体" w:cs="Times New Roman"/>
          <w:b/>
          <w:color w:val="000000"/>
          <w:kern w:val="0"/>
          <w:sz w:val="32"/>
          <w:szCs w:val="32"/>
          <w:highlight w:val="none"/>
          <w:lang w:val="en-US" w:eastAsia="zh-CN"/>
        </w:rPr>
        <w:t>22</w:t>
      </w:r>
      <w:r>
        <w:rPr>
          <w:rFonts w:hint="default" w:ascii="Times New Roman" w:hAnsi="Times New Roman" w:eastAsia="方正仿宋简体" w:cs="Times New Roman"/>
          <w:b/>
          <w:color w:val="000000"/>
          <w:kern w:val="0"/>
          <w:sz w:val="32"/>
          <w:szCs w:val="32"/>
          <w:highlight w:val="none"/>
          <w:lang w:val="en-US" w:eastAsia="zh-CN"/>
        </w:rPr>
        <w:t>条。其中，财政预算类</w:t>
      </w:r>
      <w:r>
        <w:rPr>
          <w:rFonts w:hint="eastAsia" w:ascii="Times New Roman" w:hAnsi="Times New Roman" w:eastAsia="方正仿宋简体" w:cs="Times New Roman"/>
          <w:b/>
          <w:color w:val="000000"/>
          <w:kern w:val="0"/>
          <w:sz w:val="32"/>
          <w:szCs w:val="32"/>
          <w:highlight w:val="none"/>
          <w:lang w:val="en-US" w:eastAsia="zh-CN"/>
        </w:rPr>
        <w:t>4</w:t>
      </w:r>
      <w:r>
        <w:rPr>
          <w:rFonts w:hint="default" w:ascii="Times New Roman" w:hAnsi="Times New Roman" w:eastAsia="方正仿宋简体" w:cs="Times New Roman"/>
          <w:b/>
          <w:color w:val="000000"/>
          <w:kern w:val="0"/>
          <w:sz w:val="32"/>
          <w:szCs w:val="32"/>
          <w:highlight w:val="none"/>
          <w:lang w:val="en-US" w:eastAsia="zh-CN"/>
        </w:rPr>
        <w:t>条，</w:t>
      </w:r>
      <w:r>
        <w:rPr>
          <w:rFonts w:hint="eastAsia" w:ascii="Times New Roman" w:hAnsi="Times New Roman" w:eastAsia="方正仿宋简体" w:cs="Times New Roman"/>
          <w:b/>
          <w:color w:val="000000"/>
          <w:kern w:val="0"/>
          <w:sz w:val="32"/>
          <w:szCs w:val="32"/>
          <w:highlight w:val="none"/>
          <w:lang w:val="en-US" w:eastAsia="zh-CN"/>
        </w:rPr>
        <w:t>法规文件</w:t>
      </w:r>
      <w:r>
        <w:rPr>
          <w:rFonts w:hint="default" w:ascii="Times New Roman" w:hAnsi="Times New Roman" w:eastAsia="方正仿宋简体" w:cs="Times New Roman"/>
          <w:b/>
          <w:color w:val="000000"/>
          <w:kern w:val="0"/>
          <w:sz w:val="32"/>
          <w:szCs w:val="32"/>
          <w:highlight w:val="none"/>
          <w:lang w:val="en-US" w:eastAsia="zh-CN"/>
        </w:rPr>
        <w:t>类</w:t>
      </w:r>
      <w:r>
        <w:rPr>
          <w:rFonts w:hint="eastAsia" w:ascii="Times New Roman" w:hAnsi="Times New Roman" w:eastAsia="方正仿宋简体" w:cs="Times New Roman"/>
          <w:b/>
          <w:color w:val="000000"/>
          <w:kern w:val="0"/>
          <w:sz w:val="32"/>
          <w:szCs w:val="32"/>
          <w:highlight w:val="none"/>
          <w:lang w:val="en-US" w:eastAsia="zh-CN"/>
        </w:rPr>
        <w:t>5</w:t>
      </w:r>
      <w:r>
        <w:rPr>
          <w:rFonts w:hint="default" w:ascii="Times New Roman" w:hAnsi="Times New Roman" w:eastAsia="方正仿宋简体" w:cs="Times New Roman"/>
          <w:b/>
          <w:color w:val="000000"/>
          <w:kern w:val="0"/>
          <w:sz w:val="32"/>
          <w:szCs w:val="32"/>
          <w:highlight w:val="none"/>
          <w:lang w:val="en-US" w:eastAsia="zh-CN"/>
        </w:rPr>
        <w:t>条，公告公示类1条。同时按要求及时发布政策文件和相关解读</w:t>
      </w:r>
      <w:r>
        <w:rPr>
          <w:rFonts w:hint="eastAsia" w:ascii="Times New Roman" w:hAnsi="Times New Roman" w:eastAsia="方正仿宋简体" w:cs="Times New Roman"/>
          <w:b/>
          <w:color w:val="000000"/>
          <w:kern w:val="0"/>
          <w:sz w:val="32"/>
          <w:szCs w:val="32"/>
          <w:highlight w:val="none"/>
          <w:lang w:val="en-US" w:eastAsia="zh-CN"/>
        </w:rPr>
        <w:t>3</w:t>
      </w:r>
      <w:r>
        <w:rPr>
          <w:rFonts w:hint="default" w:ascii="Times New Roman" w:hAnsi="Times New Roman" w:eastAsia="方正仿宋简体" w:cs="Times New Roman"/>
          <w:b/>
          <w:color w:val="000000"/>
          <w:kern w:val="0"/>
          <w:sz w:val="32"/>
          <w:szCs w:val="32"/>
          <w:highlight w:val="none"/>
          <w:lang w:val="en-US" w:eastAsia="zh-CN"/>
        </w:rPr>
        <w:t>条及我委工作开展情况等</w:t>
      </w:r>
      <w:r>
        <w:rPr>
          <w:rFonts w:hint="default" w:ascii="Times New Roman" w:hAnsi="Times New Roman" w:eastAsia="方正仿宋简体" w:cs="Times New Roman"/>
          <w:b/>
          <w:color w:val="000000"/>
          <w:kern w:val="0"/>
          <w:sz w:val="32"/>
          <w:szCs w:val="32"/>
          <w:highlight w:val="none"/>
        </w:rPr>
        <w:t>。</w:t>
      </w:r>
    </w:p>
    <w:p>
      <w:pPr>
        <w:pStyle w:val="2"/>
        <w:jc w:val="center"/>
        <w:rPr>
          <w:rFonts w:hint="default"/>
          <w:lang w:val="en-US" w:eastAsia="zh-CN"/>
          <w14:textOutline w14:w="12700" w14:cmpd="sng">
            <w14:solidFill>
              <w14:schemeClr w14:val="tx1">
                <w14:alpha w14:val="39000"/>
              </w14:schemeClr>
            </w14:solidFill>
            <w14:prstDash w14:val="solid"/>
            <w14:round/>
          </w14:textOutline>
        </w:rPr>
      </w:pPr>
      <w:r>
        <w:rPr>
          <w:rFonts w:hint="default"/>
          <w:lang w:val="en-US" w:eastAsia="zh-CN"/>
        </w:rPr>
        <w:drawing>
          <wp:inline distT="0" distB="0" distL="114300" distR="114300">
            <wp:extent cx="4506595" cy="2834005"/>
            <wp:effectExtent l="4445" t="4445" r="22860" b="1905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eastAsia="zh-CN"/>
        </w:rPr>
        <w:t>区党工委政法委员会</w:t>
      </w:r>
      <w:r>
        <w:rPr>
          <w:rFonts w:hint="default" w:ascii="Times New Roman" w:hAnsi="Times New Roman" w:eastAsia="方正仿宋简体" w:cs="Times New Roman"/>
          <w:b/>
          <w:color w:val="000000"/>
          <w:kern w:val="0"/>
          <w:sz w:val="32"/>
          <w:szCs w:val="32"/>
          <w:lang w:eastAsia="zh-CN"/>
        </w:rPr>
        <w:t>按照《条例》规定的公开范围，除太白湖新区门户网站外，还通过微信公众号发文</w:t>
      </w:r>
      <w:r>
        <w:rPr>
          <w:rFonts w:hint="default" w:ascii="Times New Roman" w:hAnsi="Times New Roman" w:eastAsia="方正仿宋简体" w:cs="Times New Roman"/>
          <w:b/>
          <w:color w:val="000000"/>
          <w:kern w:val="0"/>
          <w:sz w:val="32"/>
          <w:szCs w:val="32"/>
          <w:lang w:val="en-US" w:eastAsia="zh-CN"/>
        </w:rPr>
        <w:t>6</w:t>
      </w:r>
      <w:r>
        <w:rPr>
          <w:rFonts w:hint="eastAsia" w:ascii="Times New Roman" w:hAnsi="Times New Roman" w:eastAsia="方正仿宋简体" w:cs="Times New Roman"/>
          <w:b/>
          <w:color w:val="000000"/>
          <w:kern w:val="0"/>
          <w:sz w:val="32"/>
          <w:szCs w:val="32"/>
          <w:lang w:val="en-US" w:eastAsia="zh-CN"/>
        </w:rPr>
        <w:t>1</w:t>
      </w:r>
      <w:r>
        <w:rPr>
          <w:rFonts w:hint="default" w:ascii="Times New Roman" w:hAnsi="Times New Roman" w:eastAsia="方正仿宋简体" w:cs="Times New Roman"/>
          <w:b/>
          <w:color w:val="000000"/>
          <w:kern w:val="0"/>
          <w:sz w:val="32"/>
          <w:szCs w:val="32"/>
          <w:lang w:val="en-US" w:eastAsia="zh-CN"/>
        </w:rPr>
        <w:t>篇，</w:t>
      </w:r>
      <w:r>
        <w:rPr>
          <w:rFonts w:hint="default" w:ascii="Times New Roman" w:hAnsi="Times New Roman" w:eastAsia="方正仿宋简体" w:cs="Times New Roman"/>
          <w:b/>
          <w:color w:val="000000"/>
          <w:kern w:val="0"/>
          <w:sz w:val="32"/>
          <w:szCs w:val="32"/>
          <w:lang w:eastAsia="zh-CN"/>
        </w:rPr>
        <w:t>报刊、广播、电视等新闻媒体发布</w:t>
      </w:r>
      <w:r>
        <w:rPr>
          <w:rFonts w:hint="eastAsia" w:ascii="Times New Roman" w:hAnsi="Times New Roman" w:eastAsia="方正仿宋简体" w:cs="Times New Roman"/>
          <w:b/>
          <w:color w:val="000000"/>
          <w:kern w:val="0"/>
          <w:sz w:val="32"/>
          <w:szCs w:val="32"/>
          <w:lang w:val="en-US" w:eastAsia="zh-CN"/>
        </w:rPr>
        <w:t>67</w:t>
      </w:r>
      <w:r>
        <w:rPr>
          <w:rFonts w:hint="default" w:ascii="Times New Roman" w:hAnsi="Times New Roman" w:eastAsia="方正仿宋简体" w:cs="Times New Roman"/>
          <w:b/>
          <w:color w:val="000000"/>
          <w:kern w:val="0"/>
          <w:sz w:val="32"/>
          <w:szCs w:val="32"/>
          <w:lang w:val="en-US" w:eastAsia="zh-CN"/>
        </w:rPr>
        <w:t>条。</w:t>
      </w:r>
    </w:p>
    <w:p>
      <w:pPr>
        <w:pStyle w:val="2"/>
        <w:jc w:val="center"/>
        <w:rPr>
          <w:rFonts w:hint="default"/>
          <w:lang w:val="en-US" w:eastAsia="zh-CN"/>
        </w:rPr>
      </w:pPr>
      <w:r>
        <w:rPr>
          <w:rFonts w:hint="default"/>
          <w:lang w:val="en-US" w:eastAsia="zh-CN"/>
        </w:rPr>
        <w:drawing>
          <wp:inline distT="0" distB="0" distL="114300" distR="114300">
            <wp:extent cx="4439285" cy="2409190"/>
            <wp:effectExtent l="4445" t="4445" r="1397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（二）依申请公开情况</w:t>
      </w:r>
    </w:p>
    <w:p>
      <w:pPr>
        <w:spacing w:line="590" w:lineRule="exact"/>
        <w:ind w:right="-105" w:rightChars="-50" w:firstLine="643" w:firstLineChars="200"/>
        <w:rPr>
          <w:rFonts w:hint="default" w:ascii="Times New Roman" w:hAnsi="Times New Roman" w:eastAsia="方正仿宋简体" w:cs="Times New Roman"/>
          <w:b/>
          <w:color w:val="000000"/>
          <w:kern w:val="0"/>
          <w:sz w:val="32"/>
          <w:szCs w:val="32"/>
          <w:lang w:val="en-US" w:eastAsia="zh-CN"/>
        </w:rPr>
      </w:pPr>
      <w:r>
        <w:rPr>
          <w:rFonts w:hint="default" w:ascii="Times New Roman" w:hAnsi="Times New Roman" w:eastAsia="方正仿宋简体" w:cs="Times New Roman"/>
          <w:b/>
          <w:color w:val="000000"/>
          <w:kern w:val="0"/>
          <w:sz w:val="32"/>
          <w:szCs w:val="32"/>
          <w:lang w:val="en-US" w:eastAsia="zh-CN"/>
        </w:rPr>
        <w:t>202</w:t>
      </w:r>
      <w:r>
        <w:rPr>
          <w:rFonts w:hint="eastAsia" w:ascii="Times New Roman" w:hAnsi="Times New Roman" w:eastAsia="方正仿宋简体" w:cs="Times New Roman"/>
          <w:b/>
          <w:color w:val="000000"/>
          <w:kern w:val="0"/>
          <w:sz w:val="32"/>
          <w:szCs w:val="32"/>
          <w:lang w:val="en-US" w:eastAsia="zh-CN"/>
        </w:rPr>
        <w:t>3</w:t>
      </w:r>
      <w:r>
        <w:rPr>
          <w:rFonts w:hint="default" w:ascii="Times New Roman" w:hAnsi="Times New Roman" w:eastAsia="方正仿宋简体" w:cs="Times New Roman"/>
          <w:b/>
          <w:color w:val="000000"/>
          <w:kern w:val="0"/>
          <w:sz w:val="32"/>
          <w:szCs w:val="32"/>
          <w:lang w:val="en-US" w:eastAsia="zh-CN"/>
        </w:rPr>
        <w:t>年，</w:t>
      </w:r>
      <w:r>
        <w:rPr>
          <w:rFonts w:hint="eastAsia" w:ascii="Times New Roman" w:hAnsi="Times New Roman" w:eastAsia="方正仿宋简体" w:cs="Times New Roman"/>
          <w:b/>
          <w:color w:val="000000"/>
          <w:kern w:val="0"/>
          <w:sz w:val="32"/>
          <w:szCs w:val="32"/>
          <w:lang w:val="en-US" w:eastAsia="zh-CN"/>
        </w:rPr>
        <w:t>区党工委政法委员会</w:t>
      </w:r>
      <w:r>
        <w:rPr>
          <w:rFonts w:hint="default" w:ascii="Times New Roman" w:hAnsi="Times New Roman" w:eastAsia="方正仿宋简体" w:cs="Times New Roman"/>
          <w:b/>
          <w:color w:val="000000"/>
          <w:kern w:val="0"/>
          <w:sz w:val="32"/>
          <w:szCs w:val="32"/>
          <w:lang w:val="en-US" w:eastAsia="zh-CN"/>
        </w:rPr>
        <w:t>未收到公民、法人或其他组织提出的政府信息公开申请。</w:t>
      </w:r>
    </w:p>
    <w:p>
      <w:pPr>
        <w:keepNext w:val="0"/>
        <w:keepLines w:val="0"/>
        <w:pageBreakBefore w:val="0"/>
        <w:kinsoku/>
        <w:wordWrap/>
        <w:overflowPunct/>
        <w:topLinePunct w:val="0"/>
        <w:autoSpaceDE/>
        <w:autoSpaceDN/>
        <w:bidi w:val="0"/>
        <w:adjustRightInd/>
        <w:snapToGrid/>
        <w:spacing w:line="600" w:lineRule="exact"/>
        <w:ind w:right="-105" w:rightChars="-50" w:firstLine="643" w:firstLineChars="200"/>
        <w:textAlignment w:val="auto"/>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（三）政府信息管理情况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根据职能和工作需要，明确分管领导，由分管领导全面指导管理信息公开工作，办公室专人具体落实信息公开工作。针对信息的政治性、时效性、保密性及社会舆论引导等，严格进行“三审三校”信息发布流程，确保信息公开工作优质有效的持续开展下去。</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highlight w:val="none"/>
          <w:lang w:eastAsia="zh-CN"/>
        </w:rPr>
      </w:pPr>
      <w:r>
        <w:rPr>
          <w:rFonts w:hint="default" w:ascii="方正楷体简体" w:hAnsi="Times New Roman" w:eastAsia="方正楷体简体" w:cs="Times New Roman"/>
          <w:b/>
          <w:color w:val="000000"/>
          <w:kern w:val="0"/>
          <w:sz w:val="32"/>
          <w:szCs w:val="32"/>
          <w:highlight w:val="none"/>
          <w:lang w:eastAsia="zh-CN"/>
        </w:rPr>
        <w:t>（四）政府信息公开平台建设情况</w:t>
      </w:r>
    </w:p>
    <w:p>
      <w:pPr>
        <w:keepNext w:val="0"/>
        <w:keepLines w:val="0"/>
        <w:pageBreakBefore w:val="0"/>
        <w:widowControl w:val="0"/>
        <w:kinsoku/>
        <w:wordWrap/>
        <w:overflowPunct/>
        <w:topLinePunct w:val="0"/>
        <w:autoSpaceDE/>
        <w:autoSpaceDN/>
        <w:bidi w:val="0"/>
        <w:adjustRightInd/>
        <w:snapToGrid/>
        <w:spacing w:line="600" w:lineRule="exact"/>
        <w:ind w:right="-105" w:rightChars="-50" w:firstLine="643" w:firstLineChars="200"/>
        <w:textAlignment w:val="auto"/>
        <w:rPr>
          <w:rFonts w:hint="default"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区党工委政法委员会严格落实《条例》相关要求及时更新信息发布，在工作开展中及时收集更新信息，确保平台信息发布时效性。同时，采取多种形式，拓宽政府信息公开渠道。</w:t>
      </w:r>
      <w:r>
        <w:rPr>
          <w:rFonts w:hint="default" w:ascii="Times New Roman" w:hAnsi="Times New Roman" w:eastAsia="方正仿宋简体" w:cs="Times New Roman"/>
          <w:b/>
          <w:color w:val="000000"/>
          <w:kern w:val="0"/>
          <w:sz w:val="32"/>
          <w:szCs w:val="32"/>
          <w:lang w:val="en-US" w:eastAsia="zh-CN"/>
        </w:rPr>
        <w:t>通过“太白湖新区普法”微博、微信公众号等政务新媒体平台推送法律知识、政策解读、普法宣传等信息。</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val="en-US" w:eastAsia="zh-CN"/>
        </w:rPr>
      </w:pPr>
      <w:r>
        <w:rPr>
          <w:rFonts w:hint="eastAsia" w:ascii="方正楷体简体" w:hAnsi="Times New Roman" w:eastAsia="方正楷体简体" w:cs="Times New Roman"/>
          <w:b/>
          <w:color w:val="000000"/>
          <w:kern w:val="0"/>
          <w:sz w:val="32"/>
          <w:szCs w:val="32"/>
          <w:lang w:val="en-US" w:eastAsia="zh-CN"/>
        </w:rPr>
        <w:t>（五）监督保障情况</w:t>
      </w:r>
    </w:p>
    <w:p>
      <w:pPr>
        <w:spacing w:line="590" w:lineRule="exact"/>
        <w:ind w:right="-105" w:rightChars="-50" w:firstLine="643" w:firstLineChars="200"/>
        <w:rPr>
          <w:rFonts w:hint="eastAsia" w:ascii="Times New Roman" w:hAnsi="Times New Roman" w:eastAsia="方正仿宋简体" w:cs="Times New Roman"/>
          <w:b/>
          <w:color w:val="000000"/>
          <w:kern w:val="0"/>
          <w:sz w:val="32"/>
          <w:szCs w:val="32"/>
          <w:lang w:val="en-US" w:eastAsia="zh-CN"/>
        </w:rPr>
      </w:pPr>
      <w:r>
        <w:rPr>
          <w:rFonts w:hint="eastAsia" w:ascii="Times New Roman" w:hAnsi="Times New Roman" w:eastAsia="方正仿宋简体" w:cs="Times New Roman"/>
          <w:b/>
          <w:color w:val="000000"/>
          <w:kern w:val="0"/>
          <w:sz w:val="32"/>
          <w:szCs w:val="32"/>
          <w:lang w:val="en-US" w:eastAsia="zh-CN"/>
        </w:rPr>
        <w:t>严格落实政务公开工作任务清单和政务考评要求，坚持问题导向，及时对标对表，实时查缺补漏，分类推进问题整改，持续强化政府公开信息的日常检查、更新和维护。</w:t>
      </w:r>
    </w:p>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rPr>
      </w:pPr>
      <w:r>
        <w:rPr>
          <w:rFonts w:hint="eastAsia" w:ascii="方正黑体简体" w:hAnsi="Times New Roman" w:eastAsia="方正黑体简体" w:cs="Times New Roman"/>
          <w:b/>
          <w:color w:val="000000"/>
          <w:kern w:val="0"/>
          <w:sz w:val="32"/>
          <w:szCs w:val="32"/>
        </w:rPr>
        <w:t>二、主动公开政府信息情况</w:t>
      </w:r>
    </w:p>
    <w:tbl>
      <w:tblPr>
        <w:tblStyle w:val="4"/>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682"/>
        <w:gridCol w:w="2133"/>
        <w:gridCol w:w="221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黑体简体" w:eastAsia="方正黑体简体"/>
                <w:b/>
                <w:sz w:val="24"/>
              </w:rPr>
            </w:pPr>
            <w:r>
              <w:rPr>
                <w:rFonts w:hint="eastAsia" w:ascii="方正黑体简体" w:hAnsi="宋体" w:eastAsia="方正黑体简体" w:cs="宋体"/>
                <w:b/>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2133"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本年制发件数</w:t>
            </w:r>
          </w:p>
        </w:tc>
        <w:tc>
          <w:tcPr>
            <w:tcW w:w="2216"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本年废止件数</w:t>
            </w:r>
          </w:p>
        </w:tc>
        <w:tc>
          <w:tcPr>
            <w:tcW w:w="2054"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规章</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行政规范性文件</w:t>
            </w:r>
          </w:p>
        </w:tc>
        <w:tc>
          <w:tcPr>
            <w:tcW w:w="2133"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216"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c>
          <w:tcPr>
            <w:tcW w:w="2054" w:type="dxa"/>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行政许可</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Calibri" w:eastAsia="方正仿宋简体" w:cs="Calibri"/>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行政处罚</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行政强制</w:t>
            </w:r>
          </w:p>
        </w:tc>
        <w:tc>
          <w:tcPr>
            <w:tcW w:w="6403" w:type="dxa"/>
            <w:gridSpan w:val="3"/>
            <w:shd w:val="clear" w:color="auto" w:fill="auto"/>
            <w:noWrap w:val="0"/>
            <w:tcMar>
              <w:left w:w="57" w:type="dxa"/>
              <w:right w:w="57" w:type="dxa"/>
            </w:tcMar>
            <w:vAlign w:val="center"/>
          </w:tcPr>
          <w:p>
            <w:pPr>
              <w:widowControl/>
              <w:spacing w:line="340" w:lineRule="exact"/>
              <w:jc w:val="center"/>
              <w:rPr>
                <w:rFonts w:hint="eastAsia" w:ascii="方正仿宋简体" w:eastAsia="方正仿宋简体"/>
                <w:b/>
                <w:sz w:val="24"/>
                <w:lang w:val="en-US" w:eastAsia="zh-CN"/>
              </w:rPr>
            </w:pPr>
            <w:r>
              <w:rPr>
                <w:rFonts w:hint="eastAsia" w:ascii="方正仿宋简体" w:hAnsi="宋体" w:eastAsia="方正仿宋简体" w:cs="宋体"/>
                <w:b/>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9085" w:type="dxa"/>
            <w:gridSpan w:val="4"/>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黑体简体" w:hAnsi="宋体" w:eastAsia="方正黑体简体" w:cs="宋体"/>
                <w:b/>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信息内容</w:t>
            </w:r>
          </w:p>
        </w:tc>
        <w:tc>
          <w:tcPr>
            <w:tcW w:w="6403" w:type="dxa"/>
            <w:gridSpan w:val="3"/>
            <w:shd w:val="clear" w:color="auto" w:fill="auto"/>
            <w:noWrap w:val="0"/>
            <w:tcMar>
              <w:left w:w="57" w:type="dxa"/>
              <w:right w:w="57" w:type="dxa"/>
            </w:tcMar>
            <w:vAlign w:val="center"/>
          </w:tcPr>
          <w:p>
            <w:pPr>
              <w:widowControl/>
              <w:spacing w:line="340" w:lineRule="exact"/>
              <w:jc w:val="center"/>
              <w:rPr>
                <w:rFonts w:ascii="方正仿宋简体" w:eastAsia="方正仿宋简体"/>
                <w:b/>
                <w:sz w:val="24"/>
              </w:rPr>
            </w:pPr>
            <w:r>
              <w:rPr>
                <w:rFonts w:hint="eastAsia" w:ascii="方正仿宋简体" w:hAnsi="宋体" w:eastAsia="方正仿宋简体" w:cs="宋体"/>
                <w:b/>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682" w:type="dxa"/>
            <w:shd w:val="clear" w:color="auto" w:fill="auto"/>
            <w:noWrap w:val="0"/>
            <w:tcMar>
              <w:left w:w="57" w:type="dxa"/>
              <w:right w:w="57" w:type="dxa"/>
            </w:tcMar>
            <w:vAlign w:val="center"/>
          </w:tcPr>
          <w:p>
            <w:pPr>
              <w:widowControl/>
              <w:spacing w:line="340" w:lineRule="exact"/>
              <w:jc w:val="left"/>
              <w:rPr>
                <w:rFonts w:ascii="方正仿宋简体" w:eastAsia="方正仿宋简体"/>
                <w:b/>
                <w:sz w:val="24"/>
              </w:rPr>
            </w:pPr>
            <w:r>
              <w:rPr>
                <w:rFonts w:hint="eastAsia" w:ascii="方正仿宋简体" w:hAnsi="宋体" w:eastAsia="方正仿宋简体" w:cs="宋体"/>
                <w:b/>
                <w:sz w:val="24"/>
                <w:lang w:bidi="ar"/>
              </w:rPr>
              <w:t>行政事业性收费</w:t>
            </w:r>
          </w:p>
        </w:tc>
        <w:tc>
          <w:tcPr>
            <w:tcW w:w="6403" w:type="dxa"/>
            <w:gridSpan w:val="3"/>
            <w:shd w:val="clear" w:color="auto" w:fill="auto"/>
            <w:noWrap w:val="0"/>
            <w:tcMar>
              <w:left w:w="57" w:type="dxa"/>
              <w:right w:w="57" w:type="dxa"/>
            </w:tcMar>
            <w:vAlign w:val="center"/>
          </w:tcPr>
          <w:p>
            <w:pPr>
              <w:spacing w:line="340" w:lineRule="exact"/>
              <w:jc w:val="center"/>
              <w:rPr>
                <w:rFonts w:hint="eastAsia" w:ascii="方正仿宋简体" w:eastAsia="方正仿宋简体"/>
                <w:b/>
                <w:sz w:val="24"/>
                <w:lang w:val="en-US" w:eastAsia="zh-CN"/>
              </w:rPr>
            </w:pPr>
            <w:r>
              <w:rPr>
                <w:rFonts w:hint="eastAsia" w:ascii="方正仿宋简体" w:eastAsia="方正仿宋简体"/>
                <w:b/>
                <w:sz w:val="24"/>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color w:val="000000"/>
          <w:kern w:val="0"/>
          <w:sz w:val="32"/>
          <w:szCs w:val="32"/>
          <w:lang w:val="en-US" w:eastAsia="zh-CN"/>
        </w:rPr>
      </w:pPr>
      <w:r>
        <w:rPr>
          <w:rFonts w:hint="eastAsia" w:ascii="方正黑体简体" w:hAnsi="Times New Roman" w:eastAsia="方正黑体简体" w:cs="Times New Roman"/>
          <w:b/>
          <w:color w:val="000000"/>
          <w:kern w:val="0"/>
          <w:sz w:val="32"/>
          <w:szCs w:val="32"/>
          <w:lang w:val="en-US" w:eastAsia="zh-CN"/>
        </w:rPr>
        <w:t>三、收到和处理政府信息公开申请情况</w:t>
      </w:r>
    </w:p>
    <w:tbl>
      <w:tblPr>
        <w:tblStyle w:val="4"/>
        <w:tblW w:w="90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913"/>
        <w:gridCol w:w="1045"/>
        <w:gridCol w:w="2976"/>
        <w:gridCol w:w="742"/>
        <w:gridCol w:w="545"/>
        <w:gridCol w:w="5"/>
        <w:gridCol w:w="535"/>
        <w:gridCol w:w="598"/>
        <w:gridCol w:w="600"/>
        <w:gridCol w:w="425"/>
        <w:gridCol w:w="71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4934" w:type="dxa"/>
            <w:gridSpan w:val="3"/>
            <w:vMerge w:val="restart"/>
            <w:shd w:val="clear" w:color="auto" w:fill="auto"/>
            <w:tcMar>
              <w:left w:w="108" w:type="dxa"/>
              <w:right w:w="108" w:type="dxa"/>
            </w:tcMar>
            <w:vAlign w:val="center"/>
          </w:tcPr>
          <w:p>
            <w:pPr>
              <w:widowControl/>
              <w:jc w:val="center"/>
              <w:rPr>
                <w:rFonts w:ascii="楷体_GB2312" w:hAnsi="黑体" w:eastAsia="楷体_GB2312"/>
                <w:b/>
                <w:bCs/>
                <w:kern w:val="0"/>
                <w:szCs w:val="21"/>
              </w:rPr>
            </w:pPr>
            <w:r>
              <w:rPr>
                <w:rFonts w:hint="eastAsia" w:ascii="楷体_GB2312" w:hAnsi="黑体" w:eastAsia="楷体_GB2312"/>
                <w:b/>
                <w:bCs/>
                <w:kern w:val="0"/>
                <w:szCs w:val="21"/>
              </w:rPr>
              <w:t>（本列数据的勾稽关系为：第一项加第二项之和，</w:t>
            </w:r>
          </w:p>
          <w:p>
            <w:pPr>
              <w:widowControl/>
              <w:jc w:val="center"/>
              <w:rPr>
                <w:rFonts w:ascii="仿宋_GB2312" w:hAnsi="Times New Roman" w:eastAsia="仿宋_GB2312"/>
                <w:b/>
                <w:bCs/>
                <w:szCs w:val="21"/>
              </w:rPr>
            </w:pPr>
            <w:r>
              <w:rPr>
                <w:rFonts w:hint="eastAsia" w:ascii="楷体_GB2312" w:hAnsi="黑体" w:eastAsia="楷体_GB2312"/>
                <w:b/>
                <w:bCs/>
                <w:kern w:val="0"/>
                <w:szCs w:val="21"/>
              </w:rPr>
              <w:t>等于第三项加第四项之和）</w:t>
            </w:r>
          </w:p>
        </w:tc>
        <w:tc>
          <w:tcPr>
            <w:tcW w:w="4164" w:type="dxa"/>
            <w:gridSpan w:val="8"/>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4934" w:type="dxa"/>
            <w:gridSpan w:val="3"/>
            <w:vMerge w:val="continue"/>
            <w:shd w:val="clear" w:color="auto" w:fill="auto"/>
            <w:tcMar>
              <w:left w:w="108" w:type="dxa"/>
              <w:right w:w="108" w:type="dxa"/>
            </w:tcMar>
            <w:vAlign w:val="center"/>
          </w:tcPr>
          <w:p>
            <w:pPr>
              <w:jc w:val="center"/>
              <w:rPr>
                <w:rFonts w:ascii="仿宋_GB2312" w:hAnsi="Times New Roman" w:eastAsia="仿宋_GB2312"/>
                <w:b/>
                <w:bCs/>
                <w:szCs w:val="21"/>
              </w:rPr>
            </w:pPr>
          </w:p>
        </w:tc>
        <w:tc>
          <w:tcPr>
            <w:tcW w:w="742"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自然人</w:t>
            </w:r>
          </w:p>
        </w:tc>
        <w:tc>
          <w:tcPr>
            <w:tcW w:w="2708" w:type="dxa"/>
            <w:gridSpan w:val="6"/>
            <w:shd w:val="clear" w:color="auto" w:fill="auto"/>
            <w:tcMar>
              <w:left w:w="108" w:type="dxa"/>
              <w:right w:w="108" w:type="dxa"/>
            </w:tcMar>
            <w:vAlign w:val="center"/>
          </w:tcPr>
          <w:p>
            <w:pPr>
              <w:widowControl/>
              <w:spacing w:line="320" w:lineRule="exact"/>
              <w:jc w:val="center"/>
              <w:rPr>
                <w:rFonts w:ascii="黑体" w:hAnsi="黑体" w:eastAsia="黑体"/>
                <w:b/>
                <w:bCs/>
                <w:szCs w:val="21"/>
              </w:rPr>
            </w:pPr>
            <w:r>
              <w:rPr>
                <w:rFonts w:hint="eastAsia" w:ascii="黑体" w:hAnsi="黑体" w:eastAsia="黑体"/>
                <w:b/>
                <w:bCs/>
                <w:kern w:val="0"/>
                <w:szCs w:val="21"/>
              </w:rPr>
              <w:t>法人或其他组织</w:t>
            </w:r>
          </w:p>
        </w:tc>
        <w:tc>
          <w:tcPr>
            <w:tcW w:w="714" w:type="dxa"/>
            <w:vMerge w:val="restart"/>
            <w:shd w:val="clear" w:color="auto" w:fill="auto"/>
            <w:tcMar>
              <w:left w:w="108" w:type="dxa"/>
              <w:right w:w="108" w:type="dxa"/>
            </w:tcMar>
            <w:vAlign w:val="center"/>
          </w:tcPr>
          <w:p>
            <w:pPr>
              <w:widowControl/>
              <w:jc w:val="center"/>
              <w:rPr>
                <w:rFonts w:ascii="黑体" w:hAnsi="黑体" w:eastAsia="黑体"/>
                <w:b/>
                <w:bCs/>
                <w:szCs w:val="21"/>
              </w:rPr>
            </w:pPr>
            <w:r>
              <w:rPr>
                <w:rFonts w:hint="eastAsia" w:ascii="黑体" w:hAnsi="黑体" w:eastAsia="黑体"/>
                <w:b/>
                <w:bCs/>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4934" w:type="dxa"/>
            <w:gridSpan w:val="3"/>
            <w:vMerge w:val="continue"/>
            <w:shd w:val="clear" w:color="auto" w:fill="auto"/>
            <w:tcMar>
              <w:left w:w="108" w:type="dxa"/>
              <w:right w:w="108" w:type="dxa"/>
            </w:tcMar>
            <w:vAlign w:val="center"/>
          </w:tcPr>
          <w:p>
            <w:pPr>
              <w:jc w:val="center"/>
              <w:rPr>
                <w:rFonts w:ascii="仿宋_GB2312" w:hAnsi="Times New Roman" w:eastAsia="仿宋_GB2312"/>
                <w:szCs w:val="21"/>
              </w:rPr>
            </w:pPr>
          </w:p>
        </w:tc>
        <w:tc>
          <w:tcPr>
            <w:tcW w:w="742" w:type="dxa"/>
            <w:vMerge w:val="continue"/>
            <w:shd w:val="clear" w:color="auto" w:fill="auto"/>
            <w:tcMar>
              <w:left w:w="108" w:type="dxa"/>
              <w:right w:w="108" w:type="dxa"/>
            </w:tcMar>
            <w:vAlign w:val="center"/>
          </w:tcPr>
          <w:p>
            <w:pPr>
              <w:jc w:val="center"/>
              <w:rPr>
                <w:rFonts w:ascii="黑体" w:hAnsi="黑体" w:eastAsia="黑体"/>
                <w:szCs w:val="21"/>
              </w:rPr>
            </w:pPr>
          </w:p>
        </w:tc>
        <w:tc>
          <w:tcPr>
            <w:tcW w:w="545"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商业企业</w:t>
            </w:r>
          </w:p>
        </w:tc>
        <w:tc>
          <w:tcPr>
            <w:tcW w:w="540" w:type="dxa"/>
            <w:gridSpan w:val="2"/>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科研机构</w:t>
            </w:r>
          </w:p>
        </w:tc>
        <w:tc>
          <w:tcPr>
            <w:tcW w:w="598" w:type="dxa"/>
            <w:shd w:val="clear" w:color="auto" w:fill="auto"/>
            <w:tcMar>
              <w:left w:w="108" w:type="dxa"/>
              <w:right w:w="108" w:type="dxa"/>
            </w:tcMar>
            <w:vAlign w:val="center"/>
          </w:tcPr>
          <w:p>
            <w:pPr>
              <w:widowControl/>
              <w:spacing w:line="320" w:lineRule="exact"/>
              <w:ind w:left="-107" w:leftChars="-51" w:right="-107" w:rightChars="-51"/>
              <w:jc w:val="center"/>
              <w:rPr>
                <w:rFonts w:ascii="黑体" w:hAnsi="黑体" w:eastAsia="黑体"/>
                <w:b/>
                <w:bCs/>
                <w:szCs w:val="21"/>
              </w:rPr>
            </w:pPr>
            <w:r>
              <w:rPr>
                <w:rFonts w:hint="eastAsia" w:ascii="黑体" w:hAnsi="黑体" w:eastAsia="黑体"/>
                <w:b/>
                <w:bCs/>
                <w:kern w:val="0"/>
                <w:szCs w:val="21"/>
              </w:rPr>
              <w:t>社会公益组织</w:t>
            </w:r>
          </w:p>
        </w:tc>
        <w:tc>
          <w:tcPr>
            <w:tcW w:w="600" w:type="dxa"/>
            <w:shd w:val="clear" w:color="auto" w:fill="auto"/>
            <w:tcMar>
              <w:left w:w="108" w:type="dxa"/>
              <w:right w:w="108" w:type="dxa"/>
            </w:tcMar>
            <w:vAlign w:val="center"/>
          </w:tcPr>
          <w:p>
            <w:pPr>
              <w:widowControl/>
              <w:spacing w:line="320" w:lineRule="exact"/>
              <w:ind w:left="-106" w:leftChars="-51" w:right="-107" w:rightChars="-51" w:hanging="1"/>
              <w:jc w:val="center"/>
              <w:rPr>
                <w:rFonts w:ascii="黑体" w:hAnsi="黑体" w:eastAsia="黑体"/>
                <w:b/>
                <w:bCs/>
                <w:szCs w:val="21"/>
              </w:rPr>
            </w:pPr>
            <w:r>
              <w:rPr>
                <w:rFonts w:hint="eastAsia" w:ascii="黑体" w:hAnsi="黑体" w:eastAsia="黑体"/>
                <w:b/>
                <w:bCs/>
                <w:kern w:val="0"/>
                <w:szCs w:val="21"/>
              </w:rPr>
              <w:t>法律服务机构</w:t>
            </w:r>
          </w:p>
        </w:tc>
        <w:tc>
          <w:tcPr>
            <w:tcW w:w="425" w:type="dxa"/>
            <w:shd w:val="clear" w:color="auto" w:fill="auto"/>
            <w:tcMar>
              <w:left w:w="108" w:type="dxa"/>
              <w:right w:w="108" w:type="dxa"/>
            </w:tcMar>
            <w:vAlign w:val="center"/>
          </w:tcPr>
          <w:p>
            <w:pPr>
              <w:widowControl/>
              <w:spacing w:line="360" w:lineRule="exact"/>
              <w:ind w:left="-63" w:leftChars="-30" w:right="-134" w:rightChars="-64"/>
              <w:jc w:val="center"/>
              <w:rPr>
                <w:rFonts w:ascii="黑体" w:hAnsi="黑体" w:eastAsia="黑体"/>
                <w:b/>
                <w:bCs/>
                <w:szCs w:val="21"/>
              </w:rPr>
            </w:pPr>
            <w:r>
              <w:rPr>
                <w:rFonts w:hint="eastAsia" w:ascii="黑体" w:hAnsi="黑体" w:eastAsia="黑体"/>
                <w:b/>
                <w:bCs/>
                <w:kern w:val="0"/>
                <w:szCs w:val="21"/>
              </w:rPr>
              <w:t>其他</w:t>
            </w:r>
          </w:p>
        </w:tc>
        <w:tc>
          <w:tcPr>
            <w:tcW w:w="714" w:type="dxa"/>
            <w:vMerge w:val="continue"/>
            <w:shd w:val="clear" w:color="auto" w:fill="auto"/>
            <w:tcMar>
              <w:left w:w="108" w:type="dxa"/>
              <w:right w:w="108" w:type="dxa"/>
            </w:tcMar>
            <w:vAlign w:val="center"/>
          </w:tcPr>
          <w:p>
            <w:pPr>
              <w:jc w:val="center"/>
              <w:rPr>
                <w:rFonts w:ascii="仿宋_GB2312" w:hAnsi="Times New Roman" w:eastAsia="仿宋_GB231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2" w:hRule="atLeast"/>
          <w:jc w:val="center"/>
        </w:trPr>
        <w:tc>
          <w:tcPr>
            <w:tcW w:w="4934" w:type="dxa"/>
            <w:gridSpan w:val="3"/>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w:t>
            </w:r>
            <w:bookmarkStart w:id="0" w:name="_Hlk66973412"/>
            <w:r>
              <w:rPr>
                <w:rFonts w:hint="eastAsia" w:ascii="方正仿宋简体" w:hAnsi="宋体" w:eastAsia="方正仿宋简体" w:cs="宋体"/>
                <w:b/>
                <w:kern w:val="0"/>
                <w:sz w:val="21"/>
                <w:szCs w:val="21"/>
                <w:lang w:bidi="ar"/>
              </w:rPr>
              <w:t>本年新收政府信息公开申请数量</w:t>
            </w:r>
            <w:bookmarkEnd w:id="0"/>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5" w:hRule="atLeast"/>
          <w:jc w:val="center"/>
        </w:trPr>
        <w:tc>
          <w:tcPr>
            <w:tcW w:w="4934" w:type="dxa"/>
            <w:gridSpan w:val="3"/>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二、上年结转政府信息公开申请数量</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35" w:hRule="atLeast"/>
          <w:jc w:val="center"/>
        </w:trPr>
        <w:tc>
          <w:tcPr>
            <w:tcW w:w="913"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三、本年度办理结果</w:t>
            </w:r>
          </w:p>
        </w:tc>
        <w:tc>
          <w:tcPr>
            <w:tcW w:w="4021" w:type="dxa"/>
            <w:gridSpan w:val="2"/>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（一）予以公开</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default"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14" w:hRule="atLeas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4021" w:type="dxa"/>
            <w:gridSpan w:val="2"/>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（二）部分公开（</w:t>
            </w:r>
            <w:bookmarkStart w:id="1" w:name="_Hlk66973981"/>
            <w:r>
              <w:rPr>
                <w:rFonts w:hint="eastAsia" w:ascii="方正仿宋简体" w:hAnsi="宋体" w:eastAsia="方正仿宋简体" w:cs="宋体"/>
                <w:b/>
                <w:kern w:val="0"/>
                <w:sz w:val="21"/>
                <w:szCs w:val="21"/>
                <w:lang w:bidi="ar"/>
              </w:rPr>
              <w:t>区分处理的，只计这一情形，不计其他情形</w:t>
            </w:r>
            <w:bookmarkEnd w:id="1"/>
            <w:r>
              <w:rPr>
                <w:rFonts w:hint="eastAsia" w:ascii="方正仿宋简体" w:hAnsi="宋体" w:eastAsia="方正仿宋简体" w:cs="宋体"/>
                <w:b/>
                <w:kern w:val="0"/>
                <w:sz w:val="21"/>
                <w:szCs w:val="21"/>
                <w:lang w:bidi="ar"/>
              </w:rPr>
              <w:t>）</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3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（三）不予公开</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1.属于国家秘密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7"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2" w:name="_Hlk66974104"/>
            <w:r>
              <w:rPr>
                <w:rFonts w:hint="eastAsia" w:ascii="方正仿宋简体" w:hAnsi="宋体" w:eastAsia="方正仿宋简体" w:cs="宋体"/>
                <w:b/>
                <w:kern w:val="0"/>
                <w:sz w:val="21"/>
                <w:szCs w:val="21"/>
                <w:lang w:bidi="ar"/>
              </w:rPr>
              <w:t>其他法律行政法规禁止公开</w:t>
            </w:r>
            <w:bookmarkEnd w:id="2"/>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3.危及“三安全一稳定”</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w:t>
            </w:r>
            <w:bookmarkStart w:id="3" w:name="_Hlk66974290"/>
            <w:r>
              <w:rPr>
                <w:rFonts w:hint="eastAsia" w:ascii="方正仿宋简体" w:hAnsi="宋体" w:eastAsia="方正仿宋简体" w:cs="宋体"/>
                <w:b/>
                <w:kern w:val="0"/>
                <w:sz w:val="21"/>
                <w:szCs w:val="21"/>
                <w:lang w:bidi="ar"/>
              </w:rPr>
              <w:t>保护第三方合法权益</w:t>
            </w:r>
            <w:bookmarkEnd w:id="3"/>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5.属于三类内部事务信息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1"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6.</w:t>
            </w:r>
            <w:bookmarkStart w:id="4" w:name="_Hlk66974555"/>
            <w:r>
              <w:rPr>
                <w:rFonts w:hint="eastAsia" w:ascii="方正仿宋简体" w:hAnsi="宋体" w:eastAsia="方正仿宋简体" w:cs="宋体"/>
                <w:b/>
                <w:kern w:val="0"/>
                <w:sz w:val="21"/>
                <w:szCs w:val="21"/>
                <w:lang w:bidi="ar"/>
              </w:rPr>
              <w:t>属于四类过程性信息</w:t>
            </w:r>
            <w:bookmarkEnd w:id="4"/>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7.属于行政执法案卷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8.</w:t>
            </w:r>
            <w:bookmarkStart w:id="5" w:name="_Hlk66975211"/>
            <w:r>
              <w:rPr>
                <w:rFonts w:hint="eastAsia" w:ascii="方正仿宋简体" w:hAnsi="宋体" w:eastAsia="方正仿宋简体" w:cs="宋体"/>
                <w:b/>
                <w:kern w:val="0"/>
                <w:sz w:val="21"/>
                <w:szCs w:val="21"/>
                <w:lang w:bidi="ar"/>
              </w:rPr>
              <w:t>属于行政查询事项</w:t>
            </w:r>
            <w:bookmarkEnd w:id="5"/>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（四）无法提供</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1.本机关不掌握相关政府信息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w:t>
            </w:r>
            <w:bookmarkStart w:id="6" w:name="_Hlk66975392"/>
            <w:r>
              <w:rPr>
                <w:rFonts w:hint="eastAsia" w:ascii="方正仿宋简体" w:hAnsi="宋体" w:eastAsia="方正仿宋简体" w:cs="宋体"/>
                <w:b/>
                <w:kern w:val="0"/>
                <w:sz w:val="21"/>
                <w:szCs w:val="21"/>
                <w:lang w:bidi="ar"/>
              </w:rPr>
              <w:t>没有现成信息需要另行制作</w:t>
            </w:r>
            <w:bookmarkEnd w:id="6"/>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w:t>
            </w:r>
            <w:bookmarkStart w:id="7" w:name="_Hlk66975466"/>
            <w:r>
              <w:rPr>
                <w:rFonts w:hint="eastAsia" w:ascii="方正仿宋简体" w:hAnsi="宋体" w:eastAsia="方正仿宋简体" w:cs="宋体"/>
                <w:b/>
                <w:kern w:val="0"/>
                <w:sz w:val="21"/>
                <w:szCs w:val="21"/>
                <w:lang w:bidi="ar"/>
              </w:rPr>
              <w:t>补正后申请内容仍不明确</w:t>
            </w:r>
            <w:bookmarkEnd w:id="7"/>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restart"/>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（五）不予处理</w:t>
            </w: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1.</w:t>
            </w:r>
            <w:bookmarkStart w:id="8" w:name="_Hlk66975537"/>
            <w:r>
              <w:rPr>
                <w:rFonts w:hint="eastAsia" w:ascii="方正仿宋简体" w:hAnsi="宋体" w:eastAsia="方正仿宋简体" w:cs="宋体"/>
                <w:b/>
                <w:kern w:val="0"/>
                <w:sz w:val="21"/>
                <w:szCs w:val="21"/>
                <w:lang w:bidi="ar"/>
              </w:rPr>
              <w:t>信访举报投诉类申请</w:t>
            </w:r>
            <w:bookmarkEnd w:id="8"/>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2.重复申请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3.要求提供公开出版物</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0" w:hRule="exact"/>
          <w:jc w:val="center"/>
        </w:trPr>
        <w:tc>
          <w:tcPr>
            <w:tcW w:w="913"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1045" w:type="dxa"/>
            <w:vMerge w:val="continue"/>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p>
        </w:tc>
        <w:tc>
          <w:tcPr>
            <w:tcW w:w="2976" w:type="dxa"/>
            <w:shd w:val="clear" w:color="auto" w:fill="auto"/>
            <w:tcMar>
              <w:left w:w="108" w:type="dxa"/>
              <w:right w:w="108" w:type="dxa"/>
            </w:tcMar>
            <w:vAlign w:val="center"/>
          </w:tcPr>
          <w:p>
            <w:pPr>
              <w:widowControl/>
              <w:spacing w:line="300" w:lineRule="exact"/>
              <w:jc w:val="left"/>
              <w:rPr>
                <w:rFonts w:hint="eastAsia" w:ascii="方正仿宋简体" w:hAnsi="宋体" w:eastAsia="方正仿宋简体" w:cs="宋体"/>
                <w:b/>
                <w:kern w:val="0"/>
                <w:sz w:val="21"/>
                <w:szCs w:val="21"/>
                <w:lang w:bidi="ar"/>
              </w:rPr>
            </w:pPr>
            <w:r>
              <w:rPr>
                <w:rFonts w:hint="eastAsia" w:ascii="方正仿宋简体" w:hAnsi="宋体" w:eastAsia="方正仿宋简体" w:cs="宋体"/>
                <w:b/>
                <w:kern w:val="0"/>
                <w:sz w:val="21"/>
                <w:szCs w:val="21"/>
                <w:lang w:bidi="ar"/>
              </w:rPr>
              <w:t>4.无正当理由大量反复申请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spacing w:line="200" w:lineRule="exact"/>
              <w:rPr>
                <w:rFonts w:ascii="黑体" w:hAnsi="黑体" w:eastAsia="黑体"/>
                <w:b/>
                <w:bCs/>
                <w:szCs w:val="21"/>
              </w:rPr>
            </w:pPr>
          </w:p>
        </w:tc>
        <w:tc>
          <w:tcPr>
            <w:tcW w:w="2976" w:type="dxa"/>
            <w:shd w:val="clear" w:color="auto" w:fill="auto"/>
            <w:tcMar>
              <w:left w:w="108" w:type="dxa"/>
              <w:right w:w="108" w:type="dxa"/>
            </w:tcMar>
            <w:vAlign w:val="center"/>
          </w:tcPr>
          <w:p>
            <w:pPr>
              <w:widowControl/>
              <w:spacing w:line="300" w:lineRule="exact"/>
              <w:rPr>
                <w:rFonts w:ascii="仿宋_GB2312" w:hAnsi="黑体" w:eastAsia="仿宋_GB2312"/>
                <w:b/>
                <w:bCs/>
                <w:kern w:val="0"/>
                <w:szCs w:val="21"/>
              </w:rPr>
            </w:pPr>
            <w:r>
              <w:rPr>
                <w:rFonts w:hint="eastAsia" w:ascii="仿宋_GB2312" w:hAnsi="黑体" w:eastAsia="仿宋_GB2312"/>
                <w:b/>
                <w:bCs/>
                <w:kern w:val="0"/>
                <w:szCs w:val="21"/>
              </w:rPr>
              <w:t>5.要求行政机关确认或重新</w:t>
            </w:r>
          </w:p>
          <w:p>
            <w:pPr>
              <w:widowControl/>
              <w:spacing w:line="300" w:lineRule="exact"/>
              <w:ind w:firstLine="211" w:firstLineChars="100"/>
              <w:rPr>
                <w:rFonts w:ascii="仿宋_GB2312" w:hAnsi="黑体" w:eastAsia="仿宋_GB2312"/>
                <w:b/>
                <w:bCs/>
                <w:szCs w:val="21"/>
              </w:rPr>
            </w:pPr>
            <w:r>
              <w:rPr>
                <w:rFonts w:hint="eastAsia" w:ascii="仿宋_GB2312" w:hAnsi="黑体" w:eastAsia="仿宋_GB2312"/>
                <w:b/>
                <w:bCs/>
                <w:kern w:val="0"/>
                <w:szCs w:val="21"/>
              </w:rPr>
              <w:t>出具已获取信息</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21"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restart"/>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（六）其他处理</w:t>
            </w: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1.申请人无正当理由逾期不补正、行政机关不再处理其政府信息公开申请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40"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2.申请人逾期未按收费通知要求缴纳费用、行政机关不再处理其政府信息公开申请</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0"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1045" w:type="dxa"/>
            <w:vMerge w:val="continue"/>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p>
        </w:tc>
        <w:tc>
          <w:tcPr>
            <w:tcW w:w="2976" w:type="dxa"/>
            <w:shd w:val="clear" w:color="auto" w:fill="auto"/>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3.其他</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b/>
                <w:bCs/>
                <w:color w:val="FF0000"/>
                <w:szCs w:val="21"/>
                <w:lang w:val="en-US" w:eastAsia="zh-CN"/>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913" w:type="dxa"/>
            <w:vMerge w:val="continue"/>
            <w:shd w:val="clear" w:color="auto" w:fill="auto"/>
            <w:tcMar>
              <w:left w:w="108" w:type="dxa"/>
              <w:right w:w="108" w:type="dxa"/>
            </w:tcMar>
            <w:vAlign w:val="center"/>
          </w:tcPr>
          <w:p>
            <w:pPr>
              <w:rPr>
                <w:rFonts w:ascii="黑体" w:hAnsi="黑体" w:eastAsia="黑体"/>
                <w:b/>
                <w:bCs/>
                <w:szCs w:val="21"/>
              </w:rPr>
            </w:pPr>
          </w:p>
        </w:tc>
        <w:tc>
          <w:tcPr>
            <w:tcW w:w="4021" w:type="dxa"/>
            <w:gridSpan w:val="2"/>
            <w:shd w:val="clear" w:color="auto" w:fill="auto"/>
            <w:tcMar>
              <w:left w:w="108" w:type="dxa"/>
              <w:right w:w="108" w:type="dxa"/>
            </w:tcMar>
            <w:vAlign w:val="center"/>
          </w:tcPr>
          <w:p>
            <w:pPr>
              <w:widowControl/>
              <w:spacing w:line="300" w:lineRule="exact"/>
              <w:jc w:val="left"/>
              <w:rPr>
                <w:rFonts w:ascii="方正仿宋简体" w:hAnsi="Times New Roman" w:eastAsia="方正仿宋简体" w:cs="Times New Roman"/>
                <w:b/>
                <w:kern w:val="0"/>
                <w:sz w:val="21"/>
                <w:szCs w:val="21"/>
              </w:rPr>
            </w:pPr>
            <w:r>
              <w:rPr>
                <w:rFonts w:hint="eastAsia" w:ascii="方正仿宋简体" w:hAnsi="Times New Roman" w:eastAsia="方正仿宋简体" w:cs="Times New Roman"/>
                <w:b/>
                <w:kern w:val="0"/>
                <w:sz w:val="21"/>
                <w:szCs w:val="21"/>
              </w:rPr>
              <w:t>（七）总计</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0" w:hRule="atLeast"/>
          <w:jc w:val="center"/>
        </w:trPr>
        <w:tc>
          <w:tcPr>
            <w:tcW w:w="4934" w:type="dxa"/>
            <w:gridSpan w:val="3"/>
            <w:shd w:val="clear" w:color="auto" w:fill="auto"/>
            <w:tcMar>
              <w:left w:w="108" w:type="dxa"/>
              <w:right w:w="108" w:type="dxa"/>
            </w:tcMar>
            <w:vAlign w:val="center"/>
          </w:tcPr>
          <w:p>
            <w:pPr>
              <w:widowControl/>
              <w:spacing w:line="300" w:lineRule="exact"/>
              <w:rPr>
                <w:rFonts w:ascii="黑体" w:hAnsi="黑体" w:eastAsia="黑体"/>
                <w:b/>
                <w:bCs/>
                <w:kern w:val="0"/>
                <w:szCs w:val="21"/>
              </w:rPr>
            </w:pPr>
            <w:r>
              <w:rPr>
                <w:rFonts w:hint="eastAsia" w:ascii="方正仿宋简体" w:hAnsi="宋体" w:eastAsia="方正仿宋简体" w:cs="宋体"/>
                <w:b/>
                <w:kern w:val="0"/>
                <w:sz w:val="21"/>
                <w:szCs w:val="21"/>
                <w:lang w:bidi="ar"/>
              </w:rPr>
              <w:t>四、结转下年度继续办理</w:t>
            </w:r>
          </w:p>
        </w:tc>
        <w:tc>
          <w:tcPr>
            <w:tcW w:w="742"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rPr>
            </w:pPr>
            <w:r>
              <w:rPr>
                <w:rFonts w:hint="eastAsia" w:ascii="仿宋_GB2312" w:hAnsi="Times New Roman" w:eastAsia="仿宋_GB2312"/>
                <w:b/>
                <w:bCs/>
                <w:szCs w:val="21"/>
                <w:lang w:val="en-US" w:eastAsia="zh-CN"/>
              </w:rPr>
              <w:t>0</w:t>
            </w:r>
          </w:p>
        </w:tc>
        <w:tc>
          <w:tcPr>
            <w:tcW w:w="540" w:type="dxa"/>
            <w:gridSpan w:val="2"/>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598"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600"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425"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szCs w:val="21"/>
              </w:rPr>
            </w:pPr>
            <w:r>
              <w:rPr>
                <w:rFonts w:hint="eastAsia" w:ascii="仿宋_GB2312" w:hAnsi="Times New Roman" w:eastAsia="仿宋_GB2312"/>
                <w:b/>
                <w:bCs/>
                <w:szCs w:val="21"/>
                <w:lang w:val="en-US" w:eastAsia="zh-CN"/>
              </w:rPr>
              <w:t>0</w:t>
            </w:r>
          </w:p>
        </w:tc>
        <w:tc>
          <w:tcPr>
            <w:tcW w:w="714" w:type="dxa"/>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b/>
                <w:bCs/>
                <w:color w:val="FF0000"/>
                <w:szCs w:val="21"/>
                <w:lang w:val="en-US"/>
              </w:rPr>
            </w:pPr>
            <w:r>
              <w:rPr>
                <w:rFonts w:hint="eastAsia" w:ascii="仿宋_GB2312" w:hAnsi="Times New Roman" w:eastAsia="仿宋_GB2312"/>
                <w:b/>
                <w:bCs/>
                <w:szCs w:val="21"/>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kern w:val="0"/>
          <w:sz w:val="32"/>
          <w:szCs w:val="32"/>
        </w:rPr>
      </w:pPr>
      <w:r>
        <w:rPr>
          <w:rFonts w:hint="eastAsia" w:ascii="方正黑体简体" w:hAnsi="Times New Roman" w:eastAsia="方正黑体简体" w:cs="Times New Roman"/>
          <w:b/>
          <w:kern w:val="0"/>
          <w:sz w:val="32"/>
          <w:szCs w:val="32"/>
          <w:lang w:val="en-US" w:eastAsia="zh-CN"/>
        </w:rPr>
        <w:t>四、政府信息公开行政复议、行政诉讼情况</w:t>
      </w:r>
    </w:p>
    <w:tbl>
      <w:tblPr>
        <w:tblStyle w:val="4"/>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widowControl/>
              <w:ind w:left="-149" w:leftChars="-71" w:right="-170" w:rightChars="-81"/>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49" w:leftChars="-71" w:right="-170" w:rightChars="-81"/>
              <w:jc w:val="center"/>
              <w:rPr>
                <w:rFonts w:ascii="黑体" w:hAnsi="黑体" w:eastAsia="黑体"/>
                <w:b/>
                <w:bCs/>
              </w:rPr>
            </w:pPr>
            <w:r>
              <w:rPr>
                <w:rFonts w:ascii="黑体" w:hAnsi="黑体" w:eastAsia="黑体"/>
                <w:b/>
                <w:bCs/>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43" w:leftChars="-21" w:right="-132" w:rightChars="-63" w:hanging="1"/>
              <w:jc w:val="center"/>
              <w:rPr>
                <w:rFonts w:ascii="黑体" w:hAnsi="黑体" w:eastAsia="黑体"/>
                <w:b/>
                <w:bCs/>
              </w:rPr>
            </w:pPr>
            <w:r>
              <w:rPr>
                <w:rFonts w:ascii="黑体" w:hAnsi="黑体" w:eastAsia="黑体"/>
                <w:b/>
                <w:bCs/>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82" w:leftChars="-39" w:right="-97" w:rightChars="-46"/>
              <w:jc w:val="center"/>
              <w:rPr>
                <w:rFonts w:ascii="黑体" w:hAnsi="黑体" w:eastAsia="黑体"/>
                <w:b/>
                <w:bCs/>
              </w:rPr>
            </w:pPr>
            <w:r>
              <w:rPr>
                <w:rFonts w:ascii="黑体" w:hAnsi="黑体" w:eastAsia="黑体"/>
                <w:b/>
                <w:bCs/>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18" w:leftChars="-56" w:right="-118" w:rightChars="-56"/>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18" w:leftChars="-56" w:right="-118" w:rightChars="-56"/>
              <w:jc w:val="center"/>
              <w:rPr>
                <w:rFonts w:ascii="黑体" w:hAnsi="黑体" w:eastAsia="黑体"/>
                <w:b/>
                <w:bCs/>
              </w:rPr>
            </w:pPr>
            <w:r>
              <w:rPr>
                <w:rFonts w:ascii="黑体" w:hAnsi="黑体" w:eastAsia="黑体"/>
                <w:b/>
                <w:bCs/>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spacing w:line="320" w:lineRule="exact"/>
              <w:jc w:val="center"/>
              <w:rPr>
                <w:rFonts w:ascii="黑体" w:hAnsi="黑体" w:eastAsia="黑体"/>
                <w:b/>
                <w:bCs/>
                <w:kern w:val="0"/>
                <w:sz w:val="20"/>
                <w:szCs w:val="20"/>
              </w:rPr>
            </w:pPr>
            <w:r>
              <w:rPr>
                <w:rFonts w:ascii="黑体" w:hAnsi="黑体" w:eastAsia="黑体"/>
                <w:b/>
                <w:bCs/>
                <w:kern w:val="0"/>
                <w:sz w:val="20"/>
                <w:szCs w:val="20"/>
              </w:rPr>
              <w:t>总</w:t>
            </w:r>
          </w:p>
          <w:p>
            <w:pPr>
              <w:widowControl/>
              <w:spacing w:line="320" w:lineRule="exact"/>
              <w:jc w:val="center"/>
              <w:rPr>
                <w:rFonts w:ascii="黑体" w:hAnsi="黑体" w:eastAsia="黑体"/>
                <w:b/>
                <w:bCs/>
              </w:rPr>
            </w:pPr>
            <w:r>
              <w:rPr>
                <w:rFonts w:ascii="黑体" w:hAnsi="黑体" w:eastAsia="黑体"/>
                <w:b/>
                <w:bCs/>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bookmarkStart w:id="9" w:name="_Hlk67039688"/>
            <w:r>
              <w:rPr>
                <w:rFonts w:ascii="黑体" w:hAnsi="黑体" w:eastAsia="黑体"/>
                <w:b/>
                <w:bCs/>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rPr>
                <w:rFonts w:ascii="黑体" w:hAnsi="黑体" w:eastAsia="黑体"/>
                <w:b/>
                <w:bCs/>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105" w:leftChars="-50" w:right="-126" w:rightChars="-60"/>
              <w:jc w:val="center"/>
              <w:rPr>
                <w:rFonts w:ascii="黑体" w:hAnsi="黑体" w:eastAsia="黑体"/>
                <w:b/>
                <w:bCs/>
              </w:rPr>
            </w:pPr>
            <w:r>
              <w:rPr>
                <w:rFonts w:ascii="黑体" w:hAnsi="黑体" w:eastAsia="黑体"/>
                <w:b/>
                <w:bCs/>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widowControl/>
              <w:ind w:left="-86" w:leftChars="-41" w:right="-88" w:rightChars="-42"/>
              <w:jc w:val="center"/>
              <w:rPr>
                <w:rFonts w:ascii="黑体" w:hAnsi="黑体" w:eastAsia="黑体"/>
                <w:b/>
                <w:bCs/>
              </w:rPr>
            </w:pPr>
            <w:r>
              <w:rPr>
                <w:rFonts w:ascii="黑体" w:hAnsi="黑体" w:eastAsia="黑体"/>
                <w:b/>
                <w:bCs/>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26" w:leftChars="-60" w:right="-136" w:rightChars="-65"/>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26" w:leftChars="-60" w:right="-136" w:rightChars="-65"/>
              <w:jc w:val="center"/>
              <w:rPr>
                <w:rFonts w:ascii="黑体" w:hAnsi="黑体" w:eastAsia="黑体"/>
                <w:b/>
                <w:bCs/>
              </w:rPr>
            </w:pPr>
            <w:r>
              <w:rPr>
                <w:rFonts w:ascii="黑体" w:hAnsi="黑体" w:eastAsia="黑体"/>
                <w:b/>
                <w:bCs/>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64" w:leftChars="-78" w:right="-153" w:rightChars="-73"/>
              <w:jc w:val="center"/>
              <w:rPr>
                <w:rFonts w:ascii="黑体" w:hAnsi="黑体" w:eastAsia="黑体"/>
                <w:b/>
                <w:bCs/>
                <w:kern w:val="0"/>
                <w:sz w:val="20"/>
                <w:szCs w:val="20"/>
              </w:rPr>
            </w:pPr>
            <w:r>
              <w:rPr>
                <w:rFonts w:ascii="黑体" w:hAnsi="黑体" w:eastAsia="黑体"/>
                <w:b/>
                <w:bCs/>
                <w:kern w:val="0"/>
                <w:sz w:val="20"/>
                <w:szCs w:val="20"/>
              </w:rPr>
              <w:t>尚未</w:t>
            </w:r>
          </w:p>
          <w:p>
            <w:pPr>
              <w:widowControl/>
              <w:ind w:left="-164" w:leftChars="-78" w:right="-153" w:rightChars="-73"/>
              <w:jc w:val="center"/>
              <w:rPr>
                <w:rFonts w:ascii="黑体" w:hAnsi="黑体" w:eastAsia="黑体"/>
                <w:b/>
                <w:bCs/>
              </w:rPr>
            </w:pPr>
            <w:r>
              <w:rPr>
                <w:rFonts w:ascii="黑体" w:hAnsi="黑体" w:eastAsia="黑体"/>
                <w:b/>
                <w:bCs/>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99" w:leftChars="-47" w:right="-78" w:rightChars="-37"/>
              <w:jc w:val="center"/>
              <w:rPr>
                <w:rFonts w:ascii="黑体" w:hAnsi="黑体" w:eastAsia="黑体"/>
                <w:b/>
                <w:bCs/>
              </w:rPr>
            </w:pPr>
            <w:r>
              <w:rPr>
                <w:rFonts w:ascii="黑体" w:hAnsi="黑体" w:eastAsia="黑体"/>
                <w:b/>
                <w:bCs/>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36" w:leftChars="-65" w:right="-124" w:rightChars="-59"/>
              <w:jc w:val="center"/>
              <w:rPr>
                <w:rFonts w:ascii="黑体" w:hAnsi="黑体" w:eastAsia="黑体"/>
                <w:b/>
                <w:bCs/>
                <w:kern w:val="0"/>
                <w:sz w:val="20"/>
                <w:szCs w:val="20"/>
              </w:rPr>
            </w:pPr>
            <w:r>
              <w:rPr>
                <w:rFonts w:ascii="黑体" w:hAnsi="黑体" w:eastAsia="黑体"/>
                <w:b/>
                <w:bCs/>
                <w:kern w:val="0"/>
                <w:sz w:val="20"/>
                <w:szCs w:val="20"/>
              </w:rPr>
              <w:t>结果</w:t>
            </w:r>
          </w:p>
          <w:p>
            <w:pPr>
              <w:widowControl/>
              <w:ind w:left="-136" w:leftChars="-65" w:right="-124" w:rightChars="-59"/>
              <w:jc w:val="center"/>
              <w:rPr>
                <w:rFonts w:ascii="黑体" w:hAnsi="黑体" w:eastAsia="黑体"/>
                <w:b/>
                <w:bCs/>
              </w:rPr>
            </w:pPr>
            <w:r>
              <w:rPr>
                <w:rFonts w:ascii="黑体" w:hAnsi="黑体" w:eastAsia="黑体"/>
                <w:b/>
                <w:bCs/>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173" w:leftChars="-83" w:right="-134" w:rightChars="-64" w:hanging="1"/>
              <w:jc w:val="center"/>
              <w:rPr>
                <w:rFonts w:ascii="黑体" w:hAnsi="黑体" w:eastAsia="黑体"/>
                <w:b/>
                <w:bCs/>
                <w:kern w:val="0"/>
                <w:sz w:val="20"/>
                <w:szCs w:val="20"/>
              </w:rPr>
            </w:pPr>
            <w:r>
              <w:rPr>
                <w:rFonts w:ascii="黑体" w:hAnsi="黑体" w:eastAsia="黑体"/>
                <w:b/>
                <w:bCs/>
                <w:kern w:val="0"/>
                <w:sz w:val="20"/>
                <w:szCs w:val="20"/>
              </w:rPr>
              <w:t>其他</w:t>
            </w:r>
          </w:p>
          <w:p>
            <w:pPr>
              <w:widowControl/>
              <w:ind w:left="-173" w:leftChars="-83" w:right="-134" w:rightChars="-64" w:hanging="1"/>
              <w:jc w:val="center"/>
              <w:rPr>
                <w:rFonts w:ascii="黑体" w:hAnsi="黑体" w:eastAsia="黑体"/>
                <w:b/>
                <w:bCs/>
              </w:rPr>
            </w:pPr>
            <w:r>
              <w:rPr>
                <w:rFonts w:ascii="黑体" w:hAnsi="黑体" w:eastAsia="黑体"/>
                <w:b/>
                <w:bCs/>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ind w:left="-67" w:leftChars="-33" w:right="-105" w:rightChars="-50" w:hanging="2" w:hangingChars="1"/>
              <w:jc w:val="center"/>
              <w:rPr>
                <w:rFonts w:ascii="黑体" w:hAnsi="黑体" w:eastAsia="黑体"/>
                <w:b/>
                <w:bCs/>
              </w:rPr>
            </w:pPr>
            <w:r>
              <w:rPr>
                <w:rFonts w:ascii="黑体" w:hAnsi="黑体" w:eastAsia="黑体"/>
                <w:b/>
                <w:bCs/>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pPr>
              <w:widowControl/>
              <w:jc w:val="center"/>
              <w:rPr>
                <w:rFonts w:ascii="黑体" w:hAnsi="黑体" w:eastAsia="黑体"/>
                <w:b/>
                <w:bCs/>
              </w:rPr>
            </w:pPr>
            <w:r>
              <w:rPr>
                <w:rFonts w:ascii="黑体" w:hAnsi="黑体" w:eastAsia="黑体"/>
                <w:b/>
                <w:bCs/>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7" w:hRule="atLeast"/>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outlineLvl w:val="9"/>
              <w:rPr>
                <w:rFonts w:hint="eastAsia" w:ascii="仿宋_GB2312" w:hAnsi="Times New Roman" w:eastAsia="仿宋_GB2312" w:cstheme="minorBidi"/>
                <w:b/>
                <w:bCs/>
                <w:kern w:val="2"/>
                <w:sz w:val="21"/>
                <w:szCs w:val="21"/>
                <w:lang w:val="en-US" w:eastAsia="zh-CN" w:bidi="ar-SA"/>
              </w:rPr>
            </w:pPr>
            <w:r>
              <w:rPr>
                <w:rFonts w:hint="eastAsia" w:ascii="仿宋_GB2312" w:hAnsi="Times New Roman" w:eastAsia="仿宋_GB2312"/>
                <w:b/>
                <w:bCs/>
                <w:szCs w:val="21"/>
                <w:lang w:val="en-US" w:eastAsia="zh-CN"/>
              </w:rPr>
              <w:t>0</w:t>
            </w:r>
          </w:p>
        </w:tc>
      </w:tr>
    </w:tbl>
    <w:p>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五、存在的主要问题及改进情况</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一是政策解读的质量效果有待提升，发布量较少，宣传力度不够。二是政府信息公开及时性不够、公开内容把关不严，有错别字存在。结合不足，区政法委员会将采取以下措施完善信息公开工作：</w:t>
      </w:r>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一是加强宣传培训，强化政策学习，全方位、多层次拓宽公开渠道，通过微信公众号、微博等多种方式加大信息公开力度，信息公开更透明、更畅通、政府信息公开水平更高效。二是加强对《条例》的学习，进一步提升业务水平、工作质量，及时公开政府信息。加强文件和信息内容的审核校对，确保上网文件和信息的严肃性、准确性、规范性，全面提升标准化规范化水平。</w:t>
      </w:r>
    </w:p>
    <w:p>
      <w:pPr>
        <w:spacing w:line="590" w:lineRule="exact"/>
        <w:ind w:right="-105" w:rightChars="-50" w:firstLine="643" w:firstLineChars="200"/>
        <w:rPr>
          <w:rFonts w:hint="eastAsia" w:ascii="方正黑体简体" w:hAnsi="Times New Roman" w:eastAsia="方正黑体简体" w:cs="Times New Roman"/>
          <w:b/>
          <w:kern w:val="0"/>
          <w:sz w:val="32"/>
          <w:szCs w:val="32"/>
          <w:lang w:val="en-US" w:eastAsia="zh-CN"/>
        </w:rPr>
      </w:pPr>
      <w:r>
        <w:rPr>
          <w:rFonts w:hint="eastAsia" w:ascii="方正黑体简体" w:hAnsi="Times New Roman" w:eastAsia="方正黑体简体" w:cs="Times New Roman"/>
          <w:b/>
          <w:kern w:val="0"/>
          <w:sz w:val="32"/>
          <w:szCs w:val="32"/>
          <w:lang w:val="en-US" w:eastAsia="zh-CN"/>
        </w:rPr>
        <w:t>六、其他需要报告的事项</w:t>
      </w:r>
    </w:p>
    <w:p>
      <w:pPr>
        <w:spacing w:line="590" w:lineRule="exact"/>
        <w:ind w:right="-105" w:rightChars="-50" w:firstLine="643" w:firstLineChars="200"/>
        <w:rPr>
          <w:rFonts w:hint="default" w:ascii="方正楷体简体" w:hAnsi="Times New Roman" w:eastAsia="方正楷体简体" w:cs="Times New Roman"/>
          <w:b/>
          <w:color w:val="000000"/>
          <w:kern w:val="0"/>
          <w:sz w:val="32"/>
          <w:szCs w:val="32"/>
          <w:lang w:eastAsia="zh-CN"/>
        </w:rPr>
      </w:pPr>
      <w:r>
        <w:rPr>
          <w:rFonts w:hint="default" w:ascii="方正楷体简体" w:hAnsi="Times New Roman" w:eastAsia="方正楷体简体" w:cs="Times New Roman"/>
          <w:b/>
          <w:color w:val="000000"/>
          <w:kern w:val="0"/>
          <w:sz w:val="32"/>
          <w:szCs w:val="32"/>
          <w:lang w:eastAsia="zh-CN"/>
        </w:rPr>
        <w:t>（一）依据《政府信息公开信息处理费管理办法》收取信息处理费的情况</w:t>
      </w:r>
      <w:bookmarkStart w:id="10" w:name="_GoBack"/>
      <w:bookmarkEnd w:id="10"/>
    </w:p>
    <w:p>
      <w:pPr>
        <w:spacing w:line="590" w:lineRule="exact"/>
        <w:ind w:right="-105" w:rightChars="-50" w:firstLine="643" w:firstLineChars="200"/>
        <w:rPr>
          <w:rFonts w:hint="eastAsia" w:ascii="方正仿宋简体" w:hAnsi="Times New Roman" w:eastAsia="方正仿宋简体" w:cs="Times New Roman"/>
          <w:b/>
          <w:kern w:val="0"/>
          <w:sz w:val="32"/>
          <w:szCs w:val="32"/>
          <w:lang w:val="en-US" w:eastAsia="zh-CN"/>
        </w:rPr>
      </w:pPr>
      <w:r>
        <w:rPr>
          <w:rFonts w:hint="eastAsia" w:ascii="方正仿宋简体" w:hAnsi="Times New Roman" w:eastAsia="方正仿宋简体" w:cs="Times New Roman"/>
          <w:b/>
          <w:kern w:val="0"/>
          <w:sz w:val="32"/>
          <w:szCs w:val="32"/>
          <w:lang w:val="en-US" w:eastAsia="zh-CN"/>
        </w:rPr>
        <w:t>本年本单位未发生收取信息处理费的情况。</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（二）落实上级年度政务公开工作要点情况</w:t>
      </w:r>
    </w:p>
    <w:p>
      <w:pPr>
        <w:spacing w:line="590" w:lineRule="exact"/>
        <w:ind w:right="-105" w:rightChars="-50" w:firstLine="643" w:firstLineChars="200"/>
        <w:rPr>
          <w:rFonts w:hint="default" w:ascii="Times New Roman" w:hAnsi="Times New Roman" w:eastAsia="方正仿宋简体" w:cs="Times New Roman"/>
          <w:b/>
          <w:kern w:val="0"/>
          <w:sz w:val="32"/>
          <w:szCs w:val="32"/>
          <w:lang w:val="en-US" w:eastAsia="zh-CN"/>
        </w:rPr>
      </w:pPr>
      <w:r>
        <w:rPr>
          <w:rFonts w:hint="default" w:ascii="Times New Roman" w:hAnsi="Times New Roman" w:eastAsia="方正仿宋简体" w:cs="Times New Roman"/>
          <w:b/>
          <w:kern w:val="0"/>
          <w:sz w:val="32"/>
          <w:szCs w:val="32"/>
          <w:lang w:val="en-US" w:eastAsia="zh-CN"/>
        </w:rPr>
        <w:t>202</w:t>
      </w:r>
      <w:r>
        <w:rPr>
          <w:rFonts w:hint="eastAsia" w:ascii="Times New Roman" w:hAnsi="Times New Roman" w:eastAsia="方正仿宋简体" w:cs="Times New Roman"/>
          <w:b/>
          <w:kern w:val="0"/>
          <w:sz w:val="32"/>
          <w:szCs w:val="32"/>
          <w:lang w:val="en-US" w:eastAsia="zh-CN"/>
        </w:rPr>
        <w:t>3</w:t>
      </w:r>
      <w:r>
        <w:rPr>
          <w:rFonts w:hint="default" w:ascii="Times New Roman" w:hAnsi="Times New Roman" w:eastAsia="方正仿宋简体" w:cs="Times New Roman"/>
          <w:b/>
          <w:kern w:val="0"/>
          <w:sz w:val="32"/>
          <w:szCs w:val="32"/>
          <w:lang w:val="en-US" w:eastAsia="zh-CN"/>
        </w:rPr>
        <w:t>年，太白湖新区政法委员会认真落实省、市关于政务公开工作的各项要求，结合部门实际，制定本年度政务公开要点，及时调整政务公开内容，创新政务公开平台，丰富宣传内容，确保应公开信息尽公开，不断提升政务公开能力水平。</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（三）年度政务公开工作创新情况</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太白湖新区政法委积极创新政务公开形式，科室积极探索构建微信公众号、普法微博号“两号联动”的政务公开和宣传工作矩阵，采取群众喜闻乐见的方式，加强政策解读，提升公开效果。</w:t>
      </w:r>
    </w:p>
    <w:p>
      <w:pPr>
        <w:spacing w:line="590" w:lineRule="exact"/>
        <w:ind w:right="-105" w:rightChars="-50" w:firstLine="643" w:firstLineChars="200"/>
        <w:rPr>
          <w:rFonts w:hint="eastAsia" w:ascii="方正楷体简体" w:hAnsi="Times New Roman" w:eastAsia="方正楷体简体" w:cs="Times New Roman"/>
          <w:b/>
          <w:color w:val="000000"/>
          <w:kern w:val="0"/>
          <w:sz w:val="32"/>
          <w:szCs w:val="32"/>
          <w:lang w:eastAsia="zh-CN"/>
        </w:rPr>
      </w:pPr>
      <w:r>
        <w:rPr>
          <w:rFonts w:hint="eastAsia" w:ascii="方正楷体简体" w:hAnsi="Times New Roman" w:eastAsia="方正楷体简体" w:cs="Times New Roman"/>
          <w:b/>
          <w:color w:val="000000"/>
          <w:kern w:val="0"/>
          <w:sz w:val="32"/>
          <w:szCs w:val="32"/>
          <w:lang w:eastAsia="zh-CN"/>
        </w:rPr>
        <w:t>（四）其他有关文件专门要求通过政府信息公开工作年度报告予以报告的事项</w:t>
      </w:r>
    </w:p>
    <w:p>
      <w:pPr>
        <w:spacing w:line="590" w:lineRule="exact"/>
        <w:ind w:right="-105" w:rightChars="-50" w:firstLine="643" w:firstLineChars="200"/>
        <w:rPr>
          <w:rFonts w:hint="eastAsia" w:ascii="Times New Roman" w:hAnsi="Times New Roman" w:eastAsia="方正仿宋简体" w:cs="Times New Roman"/>
          <w:b/>
          <w:kern w:val="0"/>
          <w:sz w:val="32"/>
          <w:szCs w:val="32"/>
          <w:lang w:val="en-US" w:eastAsia="zh-CN"/>
        </w:rPr>
      </w:pPr>
      <w:r>
        <w:rPr>
          <w:rFonts w:hint="eastAsia" w:ascii="Times New Roman" w:hAnsi="Times New Roman" w:eastAsia="方正仿宋简体" w:cs="Times New Roman"/>
          <w:b/>
          <w:kern w:val="0"/>
          <w:sz w:val="32"/>
          <w:szCs w:val="32"/>
          <w:lang w:val="en-US" w:eastAsia="zh-CN"/>
        </w:rPr>
        <w:t>无。</w:t>
      </w:r>
    </w:p>
    <w:p>
      <w:pPr>
        <w:pStyle w:val="2"/>
        <w:rPr>
          <w:rFonts w:hint="eastAsia"/>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方正仿宋简体">
    <w:panose1 w:val="03000509000000000000"/>
    <w:charset w:val="86"/>
    <w:family w:val="auto"/>
    <w:pitch w:val="default"/>
    <w:sig w:usb0="00000001" w:usb1="080E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decorative"/>
    <w:pitch w:val="default"/>
    <w:sig w:usb0="00000000" w:usb1="00000000" w:usb2="00000000" w:usb3="00000000" w:csb0="00040000" w:csb1="00000000"/>
  </w:font>
  <w:font w:name="仿宋_GB2312">
    <w:altName w:val="仿宋"/>
    <w:panose1 w:val="02010609030101010101"/>
    <w:charset w:val="86"/>
    <w:family w:val="decorative"/>
    <w:pitch w:val="default"/>
    <w:sig w:usb0="00000000" w:usb1="00000000" w:usb2="00000000" w:usb3="00000000" w:csb0="00040000" w:csb1="00000000"/>
  </w:font>
  <w:font w:name="方正公文仿宋">
    <w:panose1 w:val="02000500000000000000"/>
    <w:charset w:val="86"/>
    <w:family w:val="auto"/>
    <w:pitch w:val="default"/>
    <w:sig w:usb0="A00002BF" w:usb1="38CF7CFA" w:usb2="00000016" w:usb3="00000000" w:csb0="00040001" w:csb1="00000000"/>
  </w:font>
  <w:font w:name="方正公文楷体">
    <w:panose1 w:val="02000500000000000000"/>
    <w:charset w:val="86"/>
    <w:family w:val="auto"/>
    <w:pitch w:val="default"/>
    <w:sig w:usb0="A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mFhNjFiYTk2NjBmYTM3YzA4ZjQzOGQyNzQ4ZDQifQ=="/>
  </w:docVars>
  <w:rsids>
    <w:rsidRoot w:val="5B1E1112"/>
    <w:rsid w:val="00F96DAA"/>
    <w:rsid w:val="0FAB0EE6"/>
    <w:rsid w:val="11B56073"/>
    <w:rsid w:val="1E6050AB"/>
    <w:rsid w:val="1F4D3D58"/>
    <w:rsid w:val="2ED81174"/>
    <w:rsid w:val="3D94095C"/>
    <w:rsid w:val="520B6FE7"/>
    <w:rsid w:val="5B1E1112"/>
    <w:rsid w:val="5B3B553A"/>
    <w:rsid w:val="60620DE0"/>
    <w:rsid w:val="73FB5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政府信息公开门户网站</a:t>
            </a:r>
          </a:p>
        </c:rich>
      </c:tx>
      <c:layout>
        <c:manualLayout>
          <c:xMode val="edge"/>
          <c:yMode val="edge"/>
          <c:x val="0.0224603981667145"/>
          <c:y val="0.0143312101910828"/>
        </c:manualLayout>
      </c:layout>
      <c:overlay val="0"/>
      <c:spPr>
        <a:noFill/>
        <a:ln>
          <a:noFill/>
        </a:ln>
        <a:effectLst/>
      </c:spPr>
    </c:title>
    <c:autoTitleDeleted val="0"/>
    <c:plotArea>
      <c:layout>
        <c:manualLayout>
          <c:layoutTarget val="inner"/>
          <c:xMode val="edge"/>
          <c:yMode val="edge"/>
          <c:x val="0.259524491549699"/>
          <c:y val="0.175841674249318"/>
          <c:w val="0.514608994557433"/>
          <c:h val="0.817333939945405"/>
        </c:manualLayout>
      </c:layout>
      <c:pieChart>
        <c:varyColors val="1"/>
        <c:ser>
          <c:idx val="0"/>
          <c:order val="0"/>
          <c:tx>
            <c:strRef>
              <c:f>Sheet1!$B$1</c:f>
              <c:strCache>
                <c:ptCount val="1"/>
                <c:pt idx="0">
                  <c:v>销售额</c:v>
                </c:pt>
              </c:strCache>
            </c:strRef>
          </c:tx>
          <c:spPr/>
          <c:explosion val="0"/>
          <c:dPt>
            <c:idx val="0"/>
            <c:bubble3D val="0"/>
            <c:spPr>
              <a:gradFill>
                <a:gsLst>
                  <a:gs pos="0">
                    <a:schemeClr val="accent1">
                      <a:hueOff val="-1670000"/>
                    </a:schemeClr>
                  </a:gs>
                  <a:gs pos="100000">
                    <a:schemeClr val="accent1"/>
                  </a:gs>
                </a:gsLst>
                <a:lin ang="5400000" scaled="0"/>
              </a:gradFill>
              <a:ln>
                <a:gradFill>
                  <a:gsLst>
                    <a:gs pos="0">
                      <a:schemeClr val="accent1">
                        <a:lumMod val="75000"/>
                        <a:hueOff val="-1670000"/>
                      </a:schemeClr>
                    </a:gs>
                    <a:gs pos="100000">
                      <a:schemeClr val="accent1">
                        <a:lumMod val="75000"/>
                      </a:schemeClr>
                    </a:gs>
                  </a:gsLst>
                  <a:lin ang="5400000" scaled="1"/>
                </a:gradFill>
              </a:ln>
              <a:effectLst/>
            </c:spPr>
          </c:dPt>
          <c:dPt>
            <c:idx val="1"/>
            <c:bubble3D val="0"/>
            <c:spPr>
              <a:gradFill>
                <a:gsLst>
                  <a:gs pos="0">
                    <a:schemeClr val="accent2">
                      <a:hueOff val="-1670000"/>
                    </a:schemeClr>
                  </a:gs>
                  <a:gs pos="100000">
                    <a:schemeClr val="accent2"/>
                  </a:gs>
                </a:gsLst>
                <a:lin ang="5400000" scaled="0"/>
              </a:gradFill>
              <a:ln>
                <a:gradFill>
                  <a:gsLst>
                    <a:gs pos="0">
                      <a:schemeClr val="accent2">
                        <a:lumMod val="75000"/>
                        <a:hueOff val="-1670000"/>
                      </a:schemeClr>
                    </a:gs>
                    <a:gs pos="100000">
                      <a:schemeClr val="accent2">
                        <a:lumMod val="75000"/>
                      </a:schemeClr>
                    </a:gs>
                  </a:gsLst>
                  <a:lin ang="5400000" scaled="1"/>
                </a:gradFill>
              </a:ln>
              <a:effectLst/>
            </c:spPr>
          </c:dPt>
          <c:dPt>
            <c:idx val="2"/>
            <c:bubble3D val="0"/>
            <c:explosion val="0"/>
            <c:spPr>
              <a:gradFill>
                <a:gsLst>
                  <a:gs pos="0">
                    <a:schemeClr val="accent3">
                      <a:hueOff val="-1670000"/>
                    </a:schemeClr>
                  </a:gs>
                  <a:gs pos="100000">
                    <a:schemeClr val="accent3"/>
                  </a:gs>
                </a:gsLst>
                <a:lin ang="5400000" scaled="0"/>
              </a:gradFill>
              <a:ln>
                <a:gradFill>
                  <a:gsLst>
                    <a:gs pos="0">
                      <a:schemeClr val="accent3">
                        <a:lumMod val="75000"/>
                        <a:hueOff val="-1670000"/>
                      </a:schemeClr>
                    </a:gs>
                    <a:gs pos="100000">
                      <a:schemeClr val="accent3">
                        <a:lumMod val="75000"/>
                      </a:schemeClr>
                    </a:gs>
                  </a:gsLst>
                  <a:lin ang="5400000" scaled="1"/>
                </a:gradFill>
              </a:ln>
              <a:effectLst/>
            </c:spPr>
          </c:dPt>
          <c:dPt>
            <c:idx val="3"/>
            <c:bubble3D val="0"/>
            <c:spPr>
              <a:gradFill>
                <a:gsLst>
                  <a:gs pos="0">
                    <a:schemeClr val="accent4">
                      <a:hueOff val="-1670000"/>
                    </a:schemeClr>
                  </a:gs>
                  <a:gs pos="100000">
                    <a:schemeClr val="accent4"/>
                  </a:gs>
                </a:gsLst>
                <a:lin ang="5400000" scaled="0"/>
              </a:gradFill>
              <a:ln>
                <a:gradFill>
                  <a:gsLst>
                    <a:gs pos="0">
                      <a:schemeClr val="accent4">
                        <a:lumMod val="75000"/>
                        <a:hueOff val="-1670000"/>
                      </a:schemeClr>
                    </a:gs>
                    <a:gs pos="100000">
                      <a:schemeClr val="accent4">
                        <a:lumMod val="75000"/>
                      </a:schemeClr>
                    </a:gs>
                  </a:gsLst>
                  <a:lin ang="5400000" scaled="1"/>
                </a:gradFill>
              </a:ln>
              <a:effectLst/>
            </c:spPr>
          </c:dPt>
          <c:dPt>
            <c:idx val="4"/>
            <c:bubble3D val="0"/>
            <c:spPr>
              <a:gradFill>
                <a:gsLst>
                  <a:gs pos="0">
                    <a:schemeClr val="accent5">
                      <a:hueOff val="-1670000"/>
                    </a:schemeClr>
                  </a:gs>
                  <a:gs pos="100000">
                    <a:schemeClr val="accent5"/>
                  </a:gs>
                </a:gsLst>
                <a:lin ang="5400000" scaled="0"/>
              </a:gradFill>
              <a:ln>
                <a:gradFill>
                  <a:gsLst>
                    <a:gs pos="0">
                      <a:schemeClr val="accent5">
                        <a:lumMod val="75000"/>
                        <a:hueOff val="-1670000"/>
                      </a:schemeClr>
                    </a:gs>
                    <a:gs pos="100000">
                      <a:schemeClr val="accent5">
                        <a:lumMod val="75000"/>
                      </a:schemeClr>
                    </a:gs>
                  </a:gsLst>
                  <a:lin ang="5400000" scaled="1"/>
                </a:gradFill>
              </a:ln>
              <a:effectLst/>
            </c:spPr>
          </c:dPt>
          <c:dLbls>
            <c:dLbl>
              <c:idx val="0"/>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1"/>
                        </a:solidFill>
                        <a:latin typeface="+mn-lt"/>
                        <a:ea typeface="+mn-ea"/>
                        <a:cs typeface="+mn-cs"/>
                      </a:defRPr>
                    </a:pPr>
                    <a:r>
                      <a:t>公告公示类</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126468060727585"/>
                  <c:y val="0.0680163785259327"/>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2"/>
                        </a:solidFill>
                        <a:latin typeface="+mn-lt"/>
                        <a:ea typeface="+mn-ea"/>
                        <a:cs typeface="+mn-cs"/>
                      </a:defRPr>
                    </a:pPr>
                    <a:r>
                      <a:t>政策文件及相关解读</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2"/>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321541105700372"/>
                      <c:h val="0.122838944494995"/>
                    </c:manualLayout>
                  </c15:layout>
                </c:ext>
              </c:extLst>
            </c:dLbl>
            <c:dLbl>
              <c:idx val="2"/>
              <c:layout>
                <c:manualLayout>
                  <c:x val="0.0239186479518763"/>
                  <c:y val="0.0757506824385805"/>
                </c:manualLayout>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3"/>
                        </a:solidFill>
                        <a:latin typeface="+mn-lt"/>
                        <a:ea typeface="+mn-ea"/>
                        <a:cs typeface="+mn-cs"/>
                      </a:defRPr>
                    </a:pPr>
                    <a:r>
                      <a:t>法规文件类</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3"/>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4"/>
                        </a:solidFill>
                        <a:latin typeface="+mn-lt"/>
                        <a:ea typeface="+mn-ea"/>
                        <a:cs typeface="+mn-cs"/>
                      </a:defRPr>
                    </a:pPr>
                    <a:r>
                      <a:t>财政预算类</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4"/>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dLbl>
              <c:idx val="4"/>
              <c:layout/>
              <c:tx>
                <c:rich>
                  <a:bodyPr rot="0" spcFirstLastPara="0" vertOverflow="ellipsis" vert="horz" wrap="square" lIns="38100" tIns="19050" rIns="38100" bIns="19050" anchor="ctr" anchorCtr="1"/>
                  <a:lstStyle/>
                  <a:p>
                    <a:pPr defTabSz="914400">
                      <a:defRPr lang="zh-CN" sz="1000" b="1" i="0" u="none" strike="noStrike" kern="1200" spc="0" baseline="0">
                        <a:solidFill>
                          <a:schemeClr val="accent5"/>
                        </a:solidFill>
                        <a:latin typeface="+mn-lt"/>
                        <a:ea typeface="+mn-ea"/>
                        <a:cs typeface="+mn-cs"/>
                      </a:defRPr>
                    </a:pPr>
                    <a:r>
                      <a:t>工作开展情况及其他</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5"/>
                      </a:solidFill>
                      <a:latin typeface="+mn-lt"/>
                      <a:ea typeface="+mn-ea"/>
                      <a:cs typeface="+mn-cs"/>
                    </a:defRPr>
                  </a:pPr>
                </a:p>
              </c:txPr>
              <c:dLblPos val="outEnd"/>
              <c:showLegendKey val="0"/>
              <c:showVal val="0"/>
              <c:showCatName val="1"/>
              <c:showSerName val="0"/>
              <c:showPercent val="1"/>
              <c:showBubbleSize val="0"/>
              <c:separator>
</c:separator>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1" i="0" u="none" strike="noStrike" kern="1200" spc="0" baseline="0">
                    <a:solidFill>
                      <a:schemeClr val="accent1"/>
                    </a:solidFill>
                    <a:latin typeface="+mn-lt"/>
                    <a:ea typeface="+mn-ea"/>
                    <a:cs typeface="+mn-cs"/>
                  </a:defRPr>
                </a:pPr>
              </a:p>
            </c:txPr>
            <c:dLblPos val="out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Sheet1!$A$2:$A$6</c:f>
              <c:strCache>
                <c:ptCount val="5"/>
                <c:pt idx="0">
                  <c:v>第一季度</c:v>
                </c:pt>
                <c:pt idx="1">
                  <c:v>第二季度</c:v>
                </c:pt>
                <c:pt idx="2">
                  <c:v>第三季度</c:v>
                </c:pt>
                <c:pt idx="3">
                  <c:v>第四季度</c:v>
                </c:pt>
                <c:pt idx="4">
                  <c:v>5</c:v>
                </c:pt>
              </c:strCache>
            </c:strRef>
          </c:cat>
          <c:val>
            <c:numRef>
              <c:f>Sheet1!$B$2:$B$6</c:f>
              <c:numCache>
                <c:formatCode>General</c:formatCode>
                <c:ptCount val="5"/>
                <c:pt idx="0">
                  <c:v>1</c:v>
                </c:pt>
                <c:pt idx="1">
                  <c:v>3</c:v>
                </c:pt>
                <c:pt idx="2">
                  <c:v>7</c:v>
                </c:pt>
                <c:pt idx="3">
                  <c:v>4</c:v>
                </c:pt>
                <c:pt idx="4">
                  <c:v>38</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bg1">
          <a:lumMod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0"/>
          <c:tx>
            <c:strRef>
              <c:f>Sheet1!$B$1</c:f>
              <c:strCache>
                <c:ptCount val="1"/>
                <c:pt idx="0">
                  <c:v>其他平台建设</c:v>
                </c:pt>
              </c:strCache>
            </c:strRef>
          </c:tx>
          <c:spPr>
            <a:gradFill>
              <a:gsLst>
                <a:gs pos="0">
                  <a:schemeClr val="accent4">
                    <a:lumMod val="40000"/>
                    <a:lumOff val="60000"/>
                  </a:schemeClr>
                </a:gs>
                <a:gs pos="90000">
                  <a:schemeClr val="accent4"/>
                </a:gs>
              </a:gsLst>
              <a:lin ang="5400000" scaled="0"/>
            </a:gradFill>
            <a:ln>
              <a:gradFill>
                <a:gsLst>
                  <a:gs pos="0">
                    <a:schemeClr val="accent4"/>
                  </a:gs>
                  <a:gs pos="100000">
                    <a:schemeClr val="accent4">
                      <a:lumMod val="75000"/>
                    </a:schemeClr>
                  </a:gs>
                </a:gsLst>
                <a:lin ang="5400000" scaled="1"/>
              </a:gradFill>
            </a:ln>
            <a:effectLst>
              <a:outerShdw blurRad="76200" dist="25400" dir="2700000" algn="tl" rotWithShape="0">
                <a:schemeClr val="accent4">
                  <a:lumMod val="50000"/>
                  <a:alpha val="30000"/>
                </a:schemeClr>
              </a:outerShdw>
            </a:effectLst>
          </c:spPr>
          <c:invertIfNegative val="0"/>
          <c:dLbls>
            <c:delete val="1"/>
          </c:dLbls>
          <c:cat>
            <c:strRef>
              <c:f>Sheet1!$A$2:$A$5</c:f>
              <c:strCache>
                <c:ptCount val="4"/>
                <c:pt idx="0">
                  <c:v>融媒体类</c:v>
                </c:pt>
                <c:pt idx="1">
                  <c:v>区级融媒体</c:v>
                </c:pt>
                <c:pt idx="2">
                  <c:v>报刊类</c:v>
                </c:pt>
                <c:pt idx="3">
                  <c:v>广播电视类及其他</c:v>
                </c:pt>
              </c:strCache>
            </c:strRef>
          </c:cat>
          <c:val>
            <c:numRef>
              <c:f>Sheet1!$B$2:$B$5</c:f>
              <c:numCache>
                <c:formatCode>General</c:formatCode>
                <c:ptCount val="4"/>
                <c:pt idx="0">
                  <c:v>60</c:v>
                </c:pt>
                <c:pt idx="1">
                  <c:v>61</c:v>
                </c:pt>
                <c:pt idx="2">
                  <c:v>6</c:v>
                </c:pt>
                <c:pt idx="3">
                  <c:v>1</c:v>
                </c:pt>
              </c:numCache>
            </c:numRef>
          </c:val>
        </c:ser>
        <c:dLbls>
          <c:showLegendKey val="0"/>
          <c:showVal val="0"/>
          <c:showCatName val="0"/>
          <c:showSerName val="0"/>
          <c:showPercent val="0"/>
          <c:showBubbleSize val="0"/>
        </c:dLbls>
        <c:gapWidth val="246"/>
        <c:overlap val="-28"/>
        <c:axId val="861781122"/>
        <c:axId val="927230217"/>
      </c:barChart>
      <c:catAx>
        <c:axId val="86178112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230217"/>
        <c:crosses val="autoZero"/>
        <c:auto val="1"/>
        <c:lblAlgn val="ctr"/>
        <c:lblOffset val="100"/>
        <c:noMultiLvlLbl val="0"/>
      </c:catAx>
      <c:valAx>
        <c:axId val="927230217"/>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1781122"/>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0">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hueOff val="-1670000"/>
            </a:schemeClr>
          </a:gs>
          <a:gs pos="100000">
            <a:schemeClr val="phClr"/>
          </a:gs>
        </a:gsLst>
        <a:lin ang="5400000" scaled="0"/>
      </a:gradFill>
      <a:ln>
        <a:gradFill>
          <a:gsLst>
            <a:gs pos="0">
              <a:schemeClr val="phClr">
                <a:lumMod val="75000"/>
                <a:hueOff val="-1670000"/>
              </a:schemeClr>
            </a:gs>
            <a:gs pos="100000">
              <a:schemeClr val="phClr">
                <a:lumMod val="75000"/>
              </a:schemeClr>
            </a:gs>
          </a:gsLst>
          <a:lin ang="5400000" scaled="1"/>
        </a:gra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2024-03-11T07:30:00Z</dcterms:created>
  <dc:creator>Administrator</dc:creator>
  <cp:lastModifiedBy>Administrator</cp:lastModifiedBy>
  <dcterms:modified xsi:type="dcterms:W3CDTF">2024-03-14T01:56:35Z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67CB13FF5ACA4ED98953BA3B259E5170_13</vt:lpwstr>
  </property>
</Properties>
</file>