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简体" w:hAnsi="方正仿宋简体" w:eastAsia="方正仿宋简体" w:cs="方正仿宋简体"/>
          <w:b/>
          <w:bCs/>
          <w:sz w:val="32"/>
          <w:szCs w:val="32"/>
          <w:lang w:eastAsia="zh-CN"/>
        </w:rPr>
      </w:pPr>
    </w:p>
    <w:p>
      <w:pPr>
        <w:rPr>
          <w:rFonts w:hint="eastAsia" w:ascii="方正仿宋简体" w:hAnsi="方正仿宋简体" w:eastAsia="方正仿宋简体" w:cs="方正仿宋简体"/>
          <w:b/>
          <w:bCs/>
          <w:sz w:val="32"/>
          <w:szCs w:val="32"/>
          <w:lang w:eastAsia="zh-CN"/>
        </w:rPr>
      </w:pPr>
    </w:p>
    <w:p>
      <w:pPr>
        <w:rPr>
          <w:rFonts w:hint="eastAsia" w:ascii="方正仿宋简体" w:hAnsi="方正仿宋简体" w:eastAsia="方正仿宋简体" w:cs="方正仿宋简体"/>
          <w:b/>
          <w:bCs/>
          <w:sz w:val="32"/>
          <w:szCs w:val="32"/>
          <w:lang w:eastAsia="zh-CN"/>
        </w:rPr>
      </w:pPr>
    </w:p>
    <w:p>
      <w:pPr>
        <w:rPr>
          <w:rFonts w:hint="eastAsia" w:ascii="方正仿宋简体" w:hAnsi="方正仿宋简体" w:eastAsia="方正仿宋简体" w:cs="方正仿宋简体"/>
          <w:b/>
          <w:bCs/>
          <w:sz w:val="32"/>
          <w:szCs w:val="32"/>
          <w:lang w:eastAsia="zh-CN"/>
        </w:rPr>
      </w:pPr>
    </w:p>
    <w:p>
      <w:pPr>
        <w:rPr>
          <w:rFonts w:hint="eastAsia" w:ascii="方正仿宋简体" w:hAnsi="方正仿宋简体" w:eastAsia="方正仿宋简体" w:cs="方正仿宋简体"/>
          <w:b/>
          <w:bCs/>
          <w:sz w:val="32"/>
          <w:szCs w:val="32"/>
          <w:lang w:eastAsia="zh-CN"/>
        </w:rPr>
      </w:pPr>
    </w:p>
    <w:p>
      <w:pPr>
        <w:rPr>
          <w:rFonts w:hint="eastAsia" w:ascii="方正仿宋简体" w:hAnsi="方正仿宋简体" w:eastAsia="方正仿宋简体" w:cs="方正仿宋简体"/>
          <w:b/>
          <w:bCs/>
          <w:sz w:val="32"/>
          <w:szCs w:val="32"/>
          <w:lang w:eastAsia="zh-CN"/>
        </w:rPr>
      </w:pPr>
    </w:p>
    <w:p>
      <w:pPr>
        <w:rPr>
          <w:rFonts w:hint="eastAsia" w:ascii="方正仿宋简体" w:hAnsi="方正仿宋简体" w:eastAsia="方正仿宋简体" w:cs="方正仿宋简体"/>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eastAsia="zh-CN"/>
        </w:rPr>
        <w:t>济太管办字〔</w:t>
      </w:r>
      <w:r>
        <w:rPr>
          <w:rFonts w:hint="eastAsia" w:ascii="方正仿宋简体" w:hAnsi="方正仿宋简体" w:eastAsia="方正仿宋简体" w:cs="方正仿宋简体"/>
          <w:b/>
          <w:bCs/>
          <w:sz w:val="32"/>
          <w:szCs w:val="32"/>
          <w:lang w:val="en-US" w:eastAsia="zh-CN"/>
        </w:rPr>
        <w:t>2022</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lang w:val="en-US" w:eastAsia="zh-CN"/>
        </w:rPr>
        <w:t>26号</w:t>
      </w:r>
    </w:p>
    <w:p>
      <w:pPr>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济宁</w:t>
      </w:r>
      <w:r>
        <w:rPr>
          <w:rFonts w:hint="eastAsia" w:ascii="方正小标宋简体" w:hAnsi="方正小标宋简体" w:eastAsia="方正小标宋简体" w:cs="方正小标宋简体"/>
          <w:b/>
          <w:bCs/>
          <w:sz w:val="44"/>
          <w:szCs w:val="44"/>
        </w:rPr>
        <w:t>太白湖新区</w:t>
      </w:r>
      <w:r>
        <w:rPr>
          <w:rFonts w:hint="eastAsia" w:ascii="方正小标宋简体" w:hAnsi="方正小标宋简体" w:eastAsia="方正小标宋简体" w:cs="方正小标宋简体"/>
          <w:b/>
          <w:bCs/>
          <w:sz w:val="44"/>
          <w:szCs w:val="44"/>
          <w:lang w:eastAsia="zh-CN"/>
        </w:rPr>
        <w:t>党政办公室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关于印发《太白湖新区3岁以下婴幼儿照护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服务能力提升三年工作方案</w:t>
      </w:r>
      <w:r>
        <w:rPr>
          <w:rFonts w:hint="eastAsia" w:ascii="方正小标宋简体" w:hAnsi="方正小标宋简体" w:eastAsia="方正小标宋简体" w:cs="方正小标宋简体"/>
          <w:b/>
          <w:bCs/>
          <w:sz w:val="44"/>
          <w:szCs w:val="44"/>
          <w:lang w:eastAsia="zh-CN"/>
        </w:rPr>
        <w:t>（</w:t>
      </w:r>
      <w:r>
        <w:rPr>
          <w:rFonts w:hint="eastAsia" w:ascii="方正小标宋简体" w:hAnsi="方正小标宋简体" w:eastAsia="方正小标宋简体" w:cs="方正小标宋简体"/>
          <w:b/>
          <w:bCs/>
          <w:sz w:val="44"/>
          <w:szCs w:val="44"/>
        </w:rPr>
        <w:t>试行</w:t>
      </w:r>
      <w:r>
        <w:rPr>
          <w:rFonts w:hint="eastAsia" w:ascii="方正小标宋简体" w:hAnsi="方正小标宋简体" w:eastAsia="方正小标宋简体" w:cs="方正小标宋简体"/>
          <w:b/>
          <w:bCs/>
          <w:sz w:val="44"/>
          <w:szCs w:val="44"/>
          <w:lang w:eastAsia="zh-CN"/>
        </w:rPr>
        <w:t>）</w:t>
      </w:r>
      <w:r>
        <w:rPr>
          <w:rFonts w:hint="eastAsia" w:ascii="方正小标宋简体" w:hAnsi="方正小标宋简体" w:eastAsia="方正小标宋简体" w:cs="方正小标宋简体"/>
          <w:b/>
          <w:bCs/>
          <w:sz w:val="44"/>
          <w:szCs w:val="44"/>
        </w:rPr>
        <w:t>》的通知</w:t>
      </w:r>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石桥镇</w:t>
      </w:r>
      <w:r>
        <w:rPr>
          <w:rFonts w:hint="eastAsia" w:ascii="方正仿宋简体" w:hAnsi="方正仿宋简体" w:eastAsia="方正仿宋简体" w:cs="方正仿宋简体"/>
          <w:b/>
          <w:bCs/>
          <w:sz w:val="32"/>
          <w:szCs w:val="32"/>
          <w:lang w:eastAsia="zh-CN"/>
        </w:rPr>
        <w:t>人民</w:t>
      </w:r>
      <w:r>
        <w:rPr>
          <w:rFonts w:hint="eastAsia" w:ascii="方正仿宋简体" w:hAnsi="方正仿宋简体" w:eastAsia="方正仿宋简体" w:cs="方正仿宋简体"/>
          <w:b/>
          <w:bCs/>
          <w:sz w:val="32"/>
          <w:szCs w:val="32"/>
        </w:rPr>
        <w:t>政府、许庄街道办事处，区属各部门</w:t>
      </w:r>
      <w:r>
        <w:rPr>
          <w:rFonts w:hint="eastAsia" w:ascii="方正仿宋简体" w:hAnsi="方正仿宋简体" w:eastAsia="方正仿宋简体" w:cs="方正仿宋简体"/>
          <w:b/>
          <w:bCs/>
          <w:sz w:val="32"/>
          <w:szCs w:val="32"/>
          <w:lang w:eastAsia="zh-CN"/>
        </w:rPr>
        <w:t>，各企业，驻区各单位</w:t>
      </w:r>
      <w:r>
        <w:rPr>
          <w:rFonts w:hint="eastAsia" w:ascii="方正仿宋简体" w:hAnsi="方正仿宋简体" w:eastAsia="方正仿宋简体" w:cs="方正仿宋简体"/>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现将《</w:t>
      </w:r>
      <w:r>
        <w:rPr>
          <w:rFonts w:hint="eastAsia" w:ascii="方正仿宋简体" w:hAnsi="方正仿宋简体" w:eastAsia="方正仿宋简体" w:cs="方正仿宋简体"/>
          <w:b/>
          <w:bCs/>
          <w:sz w:val="32"/>
          <w:szCs w:val="32"/>
        </w:rPr>
        <w:t>太白湖新区3岁以下婴幼儿照护服务能力提升三年工作方案</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试行</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》印发给你们</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请认真</w:t>
      </w:r>
      <w:r>
        <w:rPr>
          <w:rFonts w:hint="eastAsia" w:ascii="方正仿宋简体" w:hAnsi="方正仿宋简体" w:eastAsia="方正仿宋简体" w:cs="方正仿宋简体"/>
          <w:b/>
          <w:bCs/>
          <w:sz w:val="32"/>
          <w:szCs w:val="32"/>
          <w:lang w:eastAsia="zh-CN"/>
        </w:rPr>
        <w:t>抓好</w:t>
      </w:r>
      <w:r>
        <w:rPr>
          <w:rFonts w:hint="eastAsia" w:ascii="方正仿宋简体" w:hAnsi="方正仿宋简体" w:eastAsia="方正仿宋简体" w:cs="方正仿宋简体"/>
          <w:b/>
          <w:bCs/>
          <w:sz w:val="32"/>
          <w:szCs w:val="32"/>
        </w:rPr>
        <w:t>贯彻执行。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lang w:eastAsia="zh-CN"/>
        </w:rPr>
        <w:t>济宁太白湖新区党政办公室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2022年</w:t>
      </w:r>
      <w:r>
        <w:rPr>
          <w:rFonts w:hint="eastAsia" w:ascii="方正仿宋简体" w:hAnsi="方正仿宋简体" w:eastAsia="方正仿宋简体" w:cs="方正仿宋简体"/>
          <w:b/>
          <w:bCs/>
          <w:sz w:val="32"/>
          <w:szCs w:val="32"/>
          <w:lang w:val="en-US" w:eastAsia="zh-CN"/>
        </w:rPr>
        <w:t>10</w:t>
      </w:r>
      <w:r>
        <w:rPr>
          <w:rFonts w:hint="eastAsia" w:ascii="方正仿宋简体" w:hAnsi="方正仿宋简体" w:eastAsia="方正仿宋简体" w:cs="方正仿宋简体"/>
          <w:b/>
          <w:bCs/>
          <w:sz w:val="32"/>
          <w:szCs w:val="32"/>
        </w:rPr>
        <w:t>月</w:t>
      </w:r>
      <w:r>
        <w:rPr>
          <w:rFonts w:hint="eastAsia" w:ascii="方正仿宋简体" w:hAnsi="方正仿宋简体" w:eastAsia="方正仿宋简体" w:cs="方正仿宋简体"/>
          <w:b/>
          <w:bCs/>
          <w:sz w:val="32"/>
          <w:szCs w:val="32"/>
          <w:lang w:val="en-US" w:eastAsia="zh-CN"/>
        </w:rPr>
        <w:t>8</w:t>
      </w:r>
      <w:r>
        <w:rPr>
          <w:rFonts w:hint="eastAsia" w:ascii="方正仿宋简体" w:hAnsi="方正仿宋简体" w:eastAsia="方正仿宋简体" w:cs="方正仿宋简体"/>
          <w:b/>
          <w:bCs/>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太白湖新区3岁以下婴幼儿照护服务能力</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简体" w:hAnsi="方正仿宋简体" w:eastAsia="方正仿宋简体" w:cs="方正仿宋简体"/>
          <w:b/>
          <w:bCs/>
          <w:sz w:val="32"/>
          <w:szCs w:val="32"/>
        </w:rPr>
      </w:pPr>
      <w:r>
        <w:rPr>
          <w:rFonts w:hint="eastAsia" w:ascii="方正小标宋简体" w:hAnsi="方正小标宋简体" w:eastAsia="方正小标宋简体" w:cs="方正小标宋简体"/>
          <w:b/>
          <w:bCs/>
          <w:sz w:val="44"/>
          <w:szCs w:val="44"/>
        </w:rPr>
        <w:t>提升三年工作方案</w:t>
      </w:r>
      <w:r>
        <w:rPr>
          <w:rFonts w:hint="eastAsia" w:ascii="方正小标宋简体" w:hAnsi="方正小标宋简体" w:eastAsia="方正小标宋简体" w:cs="方正小标宋简体"/>
          <w:b/>
          <w:bCs/>
          <w:sz w:val="44"/>
          <w:szCs w:val="44"/>
          <w:lang w:eastAsia="zh-CN"/>
        </w:rPr>
        <w:t>（</w:t>
      </w:r>
      <w:r>
        <w:rPr>
          <w:rFonts w:hint="eastAsia" w:ascii="方正小标宋简体" w:hAnsi="方正小标宋简体" w:eastAsia="方正小标宋简体" w:cs="方正小标宋简体"/>
          <w:b/>
          <w:bCs/>
          <w:sz w:val="44"/>
          <w:szCs w:val="44"/>
        </w:rPr>
        <w:t>试行</w:t>
      </w:r>
      <w:r>
        <w:rPr>
          <w:rFonts w:hint="eastAsia" w:ascii="方正小标宋简体" w:hAnsi="方正小标宋简体" w:eastAsia="方正小标宋简体" w:cs="方正小标宋简体"/>
          <w:b/>
          <w:bCs/>
          <w:sz w:val="44"/>
          <w:szCs w:val="44"/>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为提升太白湖新区3岁以下婴幼儿照护服务水平，促进3岁以下婴幼儿照护服务发展工作有效落实，根据国务院办公厅《关于促进3岁以下婴幼儿照护服务发展的指导意见》</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国办发〔2019〕15号</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、省政府办公厅《关于促进3岁以下婴幼儿照护服务发展的实施意见》</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鲁政办发〔2020〕9号</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、市政府办公室《关于印发济宁市促进3岁以下婴幼儿照护服务发展的实施方案的通知》</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济政办字〔2020〕48号</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、市政府</w:t>
      </w:r>
      <w:r>
        <w:rPr>
          <w:rFonts w:hint="eastAsia" w:ascii="方正仿宋简体" w:hAnsi="方正仿宋简体" w:eastAsia="方正仿宋简体" w:cs="方正仿宋简体"/>
          <w:b/>
          <w:bCs/>
          <w:sz w:val="32"/>
          <w:szCs w:val="32"/>
          <w:lang w:eastAsia="zh-CN"/>
        </w:rPr>
        <w:t>办公室《</w:t>
      </w:r>
      <w:r>
        <w:rPr>
          <w:rFonts w:hint="eastAsia" w:ascii="方正仿宋简体" w:hAnsi="方正仿宋简体" w:eastAsia="方正仿宋简体" w:cs="方正仿宋简体"/>
          <w:b/>
          <w:bCs/>
          <w:sz w:val="32"/>
          <w:szCs w:val="32"/>
        </w:rPr>
        <w:t>关于印发</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济宁市3岁以下婴幼儿照护服务能力提升三年工作方案</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试行</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的通知</w:t>
      </w:r>
      <w:r>
        <w:rPr>
          <w:rFonts w:hint="eastAsia" w:ascii="方正仿宋简体" w:hAnsi="方正仿宋简体" w:eastAsia="方正仿宋简体" w:cs="方正仿宋简体"/>
          <w:b/>
          <w:bCs/>
          <w:sz w:val="32"/>
          <w:szCs w:val="32"/>
          <w:lang w:eastAsia="zh-CN"/>
        </w:rPr>
        <w:t>》等</w:t>
      </w:r>
      <w:r>
        <w:rPr>
          <w:rFonts w:hint="eastAsia" w:ascii="方正仿宋简体" w:hAnsi="方正仿宋简体" w:eastAsia="方正仿宋简体" w:cs="方正仿宋简体"/>
          <w:b/>
          <w:bCs/>
          <w:sz w:val="32"/>
          <w:szCs w:val="32"/>
        </w:rPr>
        <w:t>精神，结合我区实际，制定</w:t>
      </w:r>
      <w:r>
        <w:rPr>
          <w:rFonts w:hint="eastAsia" w:ascii="方正仿宋简体" w:hAnsi="方正仿宋简体" w:eastAsia="方正仿宋简体" w:cs="方正仿宋简体"/>
          <w:b/>
          <w:bCs/>
          <w:sz w:val="32"/>
          <w:szCs w:val="32"/>
          <w:lang w:eastAsia="zh-CN"/>
        </w:rPr>
        <w:t>以下</w:t>
      </w:r>
      <w:r>
        <w:rPr>
          <w:rFonts w:hint="eastAsia" w:ascii="方正仿宋简体" w:hAnsi="方正仿宋简体" w:eastAsia="方正仿宋简体" w:cs="方正仿宋简体"/>
          <w:b/>
          <w:bCs/>
          <w:sz w:val="32"/>
          <w:szCs w:val="32"/>
        </w:rPr>
        <w:t>工作方案。</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以习近平新时代中国特色社会主义思想为指导，全面贯彻党的十九大和十九届二中、三中、四中、五中、六中全会精神</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坚持积极应对人口老龄化就是贯彻以人民为中心的发展思想的内在要求，深入推动托育领域供给侧结构性改革，注重普惠性、基础性、兜底性</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着重增量提质、普惠就近、从严监管</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鼓励通过公建公营、公建国营、公建民营、民办公助等方式</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扩大服务供给</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提升服务质量</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完善服务体系</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发展多层次多样化托育服务和托育产业</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优化营商环境</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促进产业经济转型发展</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逐步满足人民群众对婴幼儿照护服务需求。</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二、工作目标</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“十四五</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期间，通过发展多种形式的婴幼儿照护服务，逐步构建起布局合理、功能完善、覆盖城乡的婴幼儿照护服务体系，完善政策法规体系和标准规范体系</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基本形成多元化、多样化、覆盖城乡的婴幼儿照护服务体系，婴幼儿照护服务水平明显提升，相关产业得到长足发展。</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2022年，力争评选1个市婴幼儿照护服务示范点，成立4家婴幼儿照护服务机构，争取至少2家幼儿园开设托班；新增托位最低229个，达到639个，千人口托位数达到3.75个。</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2023年，至少建成1个区级公办婴幼儿照护服务机构，园区、用人单位至少建成2个婴幼儿照护服务设施</w:t>
      </w:r>
      <w:r>
        <w:rPr>
          <w:rFonts w:hint="eastAsia" w:ascii="方正仿宋简体" w:hAnsi="方正仿宋简体" w:eastAsia="方正仿宋简体" w:cs="方正仿宋简体"/>
          <w:b/>
          <w:bCs/>
          <w:sz w:val="32"/>
          <w:szCs w:val="32"/>
          <w:lang w:val="en-US" w:eastAsia="zh-CN"/>
        </w:rPr>
        <w:t>；</w:t>
      </w:r>
      <w:r>
        <w:rPr>
          <w:rFonts w:hint="eastAsia" w:ascii="方正仿宋简体" w:hAnsi="方正仿宋简体" w:eastAsia="方正仿宋简体" w:cs="方正仿宋简体"/>
          <w:b/>
          <w:bCs/>
          <w:sz w:val="32"/>
          <w:szCs w:val="32"/>
        </w:rPr>
        <w:t>新增托位182个，达到821个，千人口托位数达到4.82个。</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2024年</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结合实际再建设一批婴幼儿照护服务机构，新增托位182个，达到1003个，千人口托位数达到5.9个。</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三、基本原则</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lang w:eastAsia="zh-CN"/>
        </w:rPr>
        <w:t>（一）</w:t>
      </w:r>
      <w:r>
        <w:rPr>
          <w:rFonts w:hint="eastAsia" w:ascii="方正楷体简体" w:hAnsi="方正楷体简体" w:eastAsia="方正楷体简体" w:cs="方正楷体简体"/>
          <w:b/>
          <w:bCs/>
          <w:sz w:val="32"/>
          <w:szCs w:val="32"/>
        </w:rPr>
        <w:t>优先发展普惠。</w:t>
      </w:r>
      <w:r>
        <w:rPr>
          <w:rFonts w:hint="eastAsia" w:ascii="方正仿宋简体" w:hAnsi="方正仿宋简体" w:eastAsia="方正仿宋简体" w:cs="方正仿宋简体"/>
          <w:b/>
          <w:bCs/>
          <w:sz w:val="32"/>
          <w:szCs w:val="32"/>
        </w:rPr>
        <w:t>各级将婴幼儿照护服务纳入经济社会发展规划</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强化政策引导和统筹引领</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充分调动社会力量积极性</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健全工作机制</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优化发展环境</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大力发展普惠性婴幼儿照护服务机构。</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lang w:eastAsia="zh-CN"/>
        </w:rPr>
        <w:t>（二）</w:t>
      </w:r>
      <w:r>
        <w:rPr>
          <w:rFonts w:hint="eastAsia" w:ascii="方正楷体简体" w:hAnsi="方正楷体简体" w:eastAsia="方正楷体简体" w:cs="方正楷体简体"/>
          <w:b/>
          <w:bCs/>
          <w:sz w:val="32"/>
          <w:szCs w:val="32"/>
        </w:rPr>
        <w:t>压实属地责任。</w:t>
      </w:r>
      <w:r>
        <w:rPr>
          <w:rFonts w:hint="eastAsia" w:ascii="方正仿宋简体" w:hAnsi="方正仿宋简体" w:eastAsia="方正仿宋简体" w:cs="方正仿宋简体"/>
          <w:b/>
          <w:bCs/>
          <w:sz w:val="32"/>
          <w:szCs w:val="32"/>
        </w:rPr>
        <w:t>区管委会履行发展婴幼儿照护的主体责任，综合考虑城乡、区域发展特点，根据经济社会发展水平、工作基础和群众需求，有针对性地开展婴幼儿照护服务。</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lang w:eastAsia="zh-CN"/>
        </w:rPr>
        <w:t>（三）</w:t>
      </w:r>
      <w:r>
        <w:rPr>
          <w:rFonts w:hint="eastAsia" w:ascii="方正楷体简体" w:hAnsi="方正楷体简体" w:eastAsia="方正楷体简体" w:cs="方正楷体简体"/>
          <w:b/>
          <w:bCs/>
          <w:sz w:val="32"/>
          <w:szCs w:val="32"/>
        </w:rPr>
        <w:t>加强科学指导。</w:t>
      </w:r>
      <w:r>
        <w:rPr>
          <w:rFonts w:hint="eastAsia" w:ascii="方正仿宋简体" w:hAnsi="方正仿宋简体" w:eastAsia="方正仿宋简体" w:cs="方正仿宋简体"/>
          <w:b/>
          <w:bCs/>
          <w:sz w:val="32"/>
          <w:szCs w:val="32"/>
        </w:rPr>
        <w:t>遵循婴幼儿成长特点和规律，为家庭和照护机构提供科学养育指导</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促进婴幼儿在身体发育、动作、语言、认知、情感与社会性等方面全面发展。</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lang w:eastAsia="zh-CN"/>
        </w:rPr>
        <w:t>（四）</w:t>
      </w:r>
      <w:r>
        <w:rPr>
          <w:rFonts w:hint="eastAsia" w:ascii="方正楷体简体" w:hAnsi="方正楷体简体" w:eastAsia="方正楷体简体" w:cs="方正楷体简体"/>
          <w:b/>
          <w:bCs/>
          <w:sz w:val="32"/>
          <w:szCs w:val="32"/>
        </w:rPr>
        <w:t>严格规范监管。</w:t>
      </w:r>
      <w:r>
        <w:rPr>
          <w:rFonts w:hint="eastAsia" w:ascii="方正仿宋简体" w:hAnsi="方正仿宋简体" w:eastAsia="方正仿宋简体" w:cs="方正仿宋简体"/>
          <w:b/>
          <w:bCs/>
          <w:sz w:val="32"/>
          <w:szCs w:val="32"/>
        </w:rPr>
        <w:t>牢固树立安全意识</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把婴幼儿安全和健康摆在最突出位置</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严格执行相关法律法规</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明确责任主体，做到运营规范</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监管到位，确保婴幼儿安全和健康。</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四、主要任务</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（一）</w:t>
      </w:r>
      <w:r>
        <w:rPr>
          <w:rFonts w:hint="eastAsia" w:ascii="方正楷体简体" w:hAnsi="方正楷体简体" w:eastAsia="方正楷体简体" w:cs="方正楷体简体"/>
          <w:b/>
          <w:bCs/>
          <w:sz w:val="32"/>
          <w:szCs w:val="32"/>
        </w:rPr>
        <w:t>加强家庭婴幼儿照护支持和指导。</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保障婴幼儿家庭合法权益。落实3岁以下婴幼儿照护个人所得税专项扣除，女方产假、生育假</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男方护理假，夫妻双方育儿假等政策，鼓励用人单位采取灵活安排工作时间和工作方式，建立健全假期用工成本分担机制，为婴幼儿照护创造便利条件。支持脱产照护婴幼儿的父母重返工作岗位，多形式提供就业指导、职业技能培训及就业信息服务，拓宽就业渠道，支持婴幼儿父母就业。(责任单位</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区组织部、区总工会、区社保中心、区税务局)</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加强家庭照护指导。依托医疗卫生机构、婴幼儿照护服务机构等平台，采取</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线上+线下</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方式，为婴幼儿家庭提供婴幼儿保健、安全防护、照护技能及儿童早期发展等指导服务。鼓励具有专业经验的退休教师及医生发挥积极作用</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为社区内婴幼儿家庭提供科学育儿指导志愿服务。以</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济宁有爱·益童成长</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未成年人保护工作品牌为引领</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建立健全</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发现报告、应急处置、评估帮扶、监护预警</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联动保护工作机制</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加大对农村婴幼儿照护服务的支持</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重点关注困境儿童、留守儿童的早期发展。(责任单位</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区</w:t>
      </w:r>
      <w:r>
        <w:rPr>
          <w:rFonts w:hint="eastAsia" w:ascii="方正仿宋简体" w:hAnsi="方正仿宋简体" w:eastAsia="方正仿宋简体" w:cs="方正仿宋简体"/>
          <w:b/>
          <w:bCs/>
          <w:sz w:val="32"/>
          <w:szCs w:val="32"/>
          <w:lang w:eastAsia="zh-CN"/>
        </w:rPr>
        <w:t>社发局</w:t>
      </w:r>
      <w:r>
        <w:rPr>
          <w:rFonts w:hint="eastAsia" w:ascii="方正仿宋简体" w:hAnsi="方正仿宋简体" w:eastAsia="方正仿宋简体" w:cs="方正仿宋简体"/>
          <w:b/>
          <w:bCs/>
          <w:sz w:val="32"/>
          <w:szCs w:val="32"/>
        </w:rPr>
        <w:t>、区卫健办、区总工会)</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3.</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积极推进</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医育结合</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。建立卫生保健指导员制度，对已备案的婴幼儿照护服务机构配备健康指导员，开展卫生保健指导及健康检查</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实现科学养育。将开展新生儿访视、新生儿疾病筛查、预防接种、儿童中医药健康管理、疾病防控、安全防护等纳入基本公共卫生服务范围。到2025年，每千名儿童拥有儿科执业</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助理</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医生0.85名、床位增至2.2张，每所镇、街卫生院（社区卫生服务中心）至少配备1名提供规范儿童基本医疗服务的全科医生或儿童保健医生。3岁以下儿童系统管理率保持在90%以上。</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责任单位</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区卫健办</w:t>
      </w:r>
      <w:r>
        <w:rPr>
          <w:rFonts w:hint="eastAsia" w:ascii="方正仿宋简体" w:hAnsi="方正仿宋简体" w:eastAsia="方正仿宋简体" w:cs="方正仿宋简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（二）</w:t>
      </w:r>
      <w:r>
        <w:rPr>
          <w:rFonts w:hint="eastAsia" w:ascii="方正楷体简体" w:hAnsi="方正楷体简体" w:eastAsia="方正楷体简体" w:cs="方正楷体简体"/>
          <w:b/>
          <w:bCs/>
          <w:sz w:val="32"/>
          <w:szCs w:val="32"/>
        </w:rPr>
        <w:t>多渠道增加普惠托育服务供给。</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4.</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统筹规划建设。将婴幼儿照护服务设施建设纳入</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十四五</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国民经济和社会发展规划、城市建设发展规划及卫生与健康规划</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建立覆盖城乡的婴幼儿照护服务体系。新建居住区按照每千常住人口不少于10个托位</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每个托位建筑面积不少于8平方米的标准纳入规划条件</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正在建设、尚未交付使用且未规划婴幼儿照护服务设施的居住区</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采取协议、购置、租赁、托幼一体化等适当方式</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按照每千常住人口不少于8个托位的标准予以补齐</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已建成无婴幼儿照护服务设施的居住区</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通过购置、置换、租赁等方式</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按照每千常住人口不少于8个托位的标准予以逐步完善。婴幼儿照护服务设施及配套安全设施与住宅同步规划、同步建设、同步验收、同步交付使用。支持以集中配建方式统筹建设婴幼儿照护服务设施。</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责任单位</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区经发局、区自然资源和规划分局、区建设局、区卫健办、区行政审批服务局</w:t>
      </w:r>
      <w:r>
        <w:rPr>
          <w:rFonts w:hint="eastAsia" w:ascii="方正仿宋简体" w:hAnsi="方正仿宋简体" w:eastAsia="方正仿宋简体" w:cs="方正仿宋简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5.</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强化场地设施保障。各镇（街道）要按照年度托位建设任务要求，提供托育场地设施。综合利用镇（街）卫生院（社区卫生服务中心）、幼儿园等公共服务资源，改建普惠性婴幼儿照护服务设施。对机关事业单位、国有企业、社区等闲置用房全面梳理，支持将符合建设婴幼儿照护服务设施的场所优先发展婴幼儿照护设施，公有用房要免费用于普惠性婴幼儿照护服务事业；其他闲置用房采取减免租金、延长租期等措施，鼓励适当放宽租赁期限，租赁期不少于3年。</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责任单位：区经发局、区财政分局、区自然资源和规划分局、区建设局、区卫健办、区行政审批服务局、区党政</w:t>
      </w:r>
      <w:r>
        <w:rPr>
          <w:rFonts w:hint="eastAsia" w:ascii="方正仿宋简体" w:hAnsi="方正仿宋简体" w:eastAsia="方正仿宋简体" w:cs="方正仿宋简体"/>
          <w:b/>
          <w:bCs/>
          <w:sz w:val="32"/>
          <w:szCs w:val="32"/>
          <w:lang w:eastAsia="zh-CN"/>
        </w:rPr>
        <w:t>办公室）</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6.</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积极推动社会参与。采取公建民营、民办公助、政府购买服务、委托管理等形式，支持社会力量依法举办各类婴幼儿照护服务机构。支持在就业人群密集的产业聚集区域或办公场所建设婴幼儿照护服务设施。2022年，依托机关、企事业单位、产业园区采取单独建设或联建的方式</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至少建成1个婴幼儿照护服务设施</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为单位职工提供福利性婴幼儿照护服务</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有条件的可向附近居民开放。</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责任单位</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区经发局、区建设局、区卫健办、区</w:t>
      </w:r>
      <w:r>
        <w:rPr>
          <w:rFonts w:hint="eastAsia" w:ascii="方正仿宋简体" w:hAnsi="方正仿宋简体" w:eastAsia="方正仿宋简体" w:cs="方正仿宋简体"/>
          <w:b/>
          <w:bCs/>
          <w:sz w:val="32"/>
          <w:szCs w:val="32"/>
          <w:lang w:eastAsia="zh-CN"/>
        </w:rPr>
        <w:t>财政分局</w:t>
      </w:r>
      <w:r>
        <w:rPr>
          <w:rFonts w:hint="eastAsia" w:ascii="方正仿宋简体" w:hAnsi="方正仿宋简体" w:eastAsia="方正仿宋简体" w:cs="方正仿宋简体"/>
          <w:b/>
          <w:bCs/>
          <w:sz w:val="32"/>
          <w:szCs w:val="32"/>
        </w:rPr>
        <w:t>、区总工会</w:t>
      </w:r>
      <w:r>
        <w:rPr>
          <w:rFonts w:hint="eastAsia" w:ascii="方正仿宋简体" w:hAnsi="方正仿宋简体" w:eastAsia="方正仿宋简体" w:cs="方正仿宋简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（三）</w:t>
      </w:r>
      <w:r>
        <w:rPr>
          <w:rFonts w:hint="eastAsia" w:ascii="方正楷体简体" w:hAnsi="方正楷体简体" w:eastAsia="方正楷体简体" w:cs="方正楷体简体"/>
          <w:b/>
          <w:bCs/>
          <w:sz w:val="32"/>
          <w:szCs w:val="32"/>
        </w:rPr>
        <w:t>发展多种形式的婴幼儿照护服务机构。</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7.</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建设公办托育示范机构。通过新建、改建、扩建的方式，建设区级婴幼儿照护示范服务机构，设置托位规模原则上不低于60个，配建婴幼儿照护服务、从业人员培训、托育产品研发和标准设计、婴幼儿早期发展、监督管理和设备辅助等用房，并提供相关服务</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每个托位建筑面积不少于12平方米。并符合《济宁市托育机构质量评价标准</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试行</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济卫家庭发〔2022〕3号</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，鼓励采取公建公营、公建国营、公建民营的方式运营。</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责任单位</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区经发局、区建设局、区卫健办</w:t>
      </w:r>
      <w:r>
        <w:rPr>
          <w:rFonts w:hint="eastAsia" w:ascii="方正仿宋简体" w:hAnsi="方正仿宋简体" w:eastAsia="方正仿宋简体" w:cs="方正仿宋简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8.</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支持托幼一体化发展。鼓励现有公办和民办幼儿园在满足3-6岁儿童入园需求基础上，创造条件增设托班</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招收2-3岁幼儿，每班托位不超过20个。</w:t>
      </w:r>
      <w:r>
        <w:rPr>
          <w:rFonts w:hint="eastAsia" w:ascii="方正仿宋简体" w:hAnsi="方正仿宋简体" w:eastAsia="方正仿宋简体" w:cs="方正仿宋简体"/>
          <w:b/>
          <w:bCs/>
          <w:sz w:val="32"/>
          <w:szCs w:val="32"/>
          <w:lang w:eastAsia="zh-CN"/>
        </w:rPr>
        <w:t>区</w:t>
      </w:r>
      <w:r>
        <w:rPr>
          <w:rFonts w:hint="eastAsia" w:ascii="方正仿宋简体" w:hAnsi="方正仿宋简体" w:eastAsia="方正仿宋简体" w:cs="方正仿宋简体"/>
          <w:b/>
          <w:bCs/>
          <w:sz w:val="32"/>
          <w:szCs w:val="32"/>
        </w:rPr>
        <w:t>教育部门负责对幼儿园托班进行科学保教指导和监督管理，</w:t>
      </w:r>
      <w:r>
        <w:rPr>
          <w:rFonts w:hint="eastAsia" w:ascii="方正仿宋简体" w:hAnsi="方正仿宋简体" w:eastAsia="方正仿宋简体" w:cs="方正仿宋简体"/>
          <w:b/>
          <w:bCs/>
          <w:sz w:val="32"/>
          <w:szCs w:val="32"/>
          <w:lang w:eastAsia="zh-CN"/>
        </w:rPr>
        <w:t>区</w:t>
      </w:r>
      <w:r>
        <w:rPr>
          <w:rFonts w:hint="eastAsia" w:ascii="方正仿宋简体" w:hAnsi="方正仿宋简体" w:eastAsia="方正仿宋简体" w:cs="方正仿宋简体"/>
          <w:b/>
          <w:bCs/>
          <w:sz w:val="32"/>
          <w:szCs w:val="32"/>
        </w:rPr>
        <w:t>卫生健康部门负责对幼儿园托班进行卫生保健、膳食营养、疾病预防指导和监督管理。2022年后新建、扩建幼儿园的，将开设托班纳入幼儿园规划建设。已经取得《卫生综合评价报告》的，不再单独进行卫生评价。开设托班的幼儿园每学期向所在辖区教育部门报告收托情况，教育部门同步抄送同级卫生健康部门，实现信息精准一致、互通共享。</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责任单位</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区教育分局、区卫健办</w:t>
      </w:r>
      <w:r>
        <w:rPr>
          <w:rFonts w:hint="eastAsia" w:ascii="方正仿宋简体" w:hAnsi="方正仿宋简体" w:eastAsia="方正仿宋简体" w:cs="方正仿宋简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9.</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鼓励用人单位兴办托班。鼓励党政机关、医院、高校等事业单位、国有企业、金融机构等按照建设标准，提供合格的场地，通过委托运营等方式</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发展普惠性婴幼儿照护服务。引导各级工会等利用现有活动场所</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举办婴幼儿照护示范中心。鼓励大型连锁商超依托经营网点，探索举办连锁化婴幼儿照护服务机构。支持大型产业园区、企业采用单独或联合举办的方式，在工作场所或就近为职工提供福利性婴幼儿照护服务</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同时鼓励向附近居民开放。在城镇流动人口集聚区设置活动培训场所，提供集中托育、养护培训等服务。</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责任单位</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区经发局、区</w:t>
      </w:r>
      <w:r>
        <w:rPr>
          <w:rFonts w:hint="eastAsia" w:ascii="方正仿宋简体" w:hAnsi="方正仿宋简体" w:eastAsia="方正仿宋简体" w:cs="方正仿宋简体"/>
          <w:b/>
          <w:bCs/>
          <w:sz w:val="32"/>
          <w:szCs w:val="32"/>
          <w:lang w:eastAsia="zh-CN"/>
        </w:rPr>
        <w:t>财政分局</w:t>
      </w:r>
      <w:r>
        <w:rPr>
          <w:rFonts w:hint="eastAsia" w:ascii="方正仿宋简体" w:hAnsi="方正仿宋简体" w:eastAsia="方正仿宋简体" w:cs="方正仿宋简体"/>
          <w:b/>
          <w:bCs/>
          <w:sz w:val="32"/>
          <w:szCs w:val="32"/>
        </w:rPr>
        <w:t>、区党政</w:t>
      </w:r>
      <w:r>
        <w:rPr>
          <w:rFonts w:hint="eastAsia" w:ascii="方正仿宋简体" w:hAnsi="方正仿宋简体" w:eastAsia="方正仿宋简体" w:cs="方正仿宋简体"/>
          <w:b/>
          <w:bCs/>
          <w:sz w:val="32"/>
          <w:szCs w:val="32"/>
          <w:lang w:eastAsia="zh-CN"/>
        </w:rPr>
        <w:t>办公室</w:t>
      </w:r>
      <w:r>
        <w:rPr>
          <w:rFonts w:hint="eastAsia" w:ascii="方正仿宋简体" w:hAnsi="方正仿宋简体" w:eastAsia="方正仿宋简体" w:cs="方正仿宋简体"/>
          <w:b/>
          <w:bCs/>
          <w:sz w:val="32"/>
          <w:szCs w:val="32"/>
        </w:rPr>
        <w:t>、区卫健办、区总工会</w:t>
      </w:r>
      <w:r>
        <w:rPr>
          <w:rFonts w:hint="eastAsia" w:ascii="方正仿宋简体" w:hAnsi="方正仿宋简体" w:eastAsia="方正仿宋简体" w:cs="方正仿宋简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10.</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打造连锁化品牌。积极探索优质婴幼儿照护机构领办多个服务点的</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1+N</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婴幼儿照护服务供给模式。鼓励国有资本与品牌婴幼儿照护服务企业合作，参与婴幼儿照护设施建设，探索建立覆盖城乡的婴幼儿照护服务联合体，实现资源共享、标准统一、服务规范。到2022年底，至少引进或培育1家连锁婴幼儿照护服务机构。</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责任单位</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区卫健办、区</w:t>
      </w:r>
      <w:r>
        <w:rPr>
          <w:rFonts w:hint="eastAsia" w:ascii="方正仿宋简体" w:hAnsi="方正仿宋简体" w:eastAsia="方正仿宋简体" w:cs="方正仿宋简体"/>
          <w:b/>
          <w:bCs/>
          <w:sz w:val="32"/>
          <w:szCs w:val="32"/>
          <w:lang w:eastAsia="zh-CN"/>
        </w:rPr>
        <w:t>财政分局）</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（四）</w:t>
      </w:r>
      <w:r>
        <w:rPr>
          <w:rFonts w:hint="eastAsia" w:ascii="方正楷体简体" w:hAnsi="方正楷体简体" w:eastAsia="方正楷体简体" w:cs="方正楷体简体"/>
          <w:b/>
          <w:bCs/>
          <w:sz w:val="32"/>
          <w:szCs w:val="32"/>
        </w:rPr>
        <w:t>健全完善婴幼儿照护服务监管体系。</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11.</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落实登记备案制度。各类婴幼儿照护服务机构要按照《济宁市托育机构登记和备案办法</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试行</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济卫家庭发〔2022〕2号</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进行登记和备案，</w:t>
      </w:r>
      <w:r>
        <w:rPr>
          <w:rFonts w:hint="eastAsia" w:ascii="方正仿宋简体" w:hAnsi="方正仿宋简体" w:eastAsia="方正仿宋简体" w:cs="方正仿宋简体"/>
          <w:b/>
          <w:bCs/>
          <w:sz w:val="32"/>
          <w:szCs w:val="32"/>
          <w:lang w:eastAsia="zh-CN"/>
        </w:rPr>
        <w:t>区建设</w:t>
      </w:r>
      <w:r>
        <w:rPr>
          <w:rFonts w:hint="eastAsia" w:ascii="方正仿宋简体" w:hAnsi="方正仿宋简体" w:eastAsia="方正仿宋简体" w:cs="方正仿宋简体"/>
          <w:b/>
          <w:bCs/>
          <w:sz w:val="32"/>
          <w:szCs w:val="32"/>
        </w:rPr>
        <w:t>、卫生健康等部门要指导婴幼儿照护机构按标准建设和设置。举办托班的幼儿园，向</w:t>
      </w:r>
      <w:r>
        <w:rPr>
          <w:rFonts w:hint="eastAsia" w:ascii="方正仿宋简体" w:hAnsi="方正仿宋简体" w:eastAsia="方正仿宋简体" w:cs="方正仿宋简体"/>
          <w:b/>
          <w:bCs/>
          <w:sz w:val="32"/>
          <w:szCs w:val="32"/>
          <w:lang w:eastAsia="zh-CN"/>
        </w:rPr>
        <w:t>区</w:t>
      </w:r>
      <w:r>
        <w:rPr>
          <w:rFonts w:hint="eastAsia" w:ascii="方正仿宋简体" w:hAnsi="方正仿宋简体" w:eastAsia="方正仿宋简体" w:cs="方正仿宋简体"/>
          <w:b/>
          <w:bCs/>
          <w:sz w:val="32"/>
          <w:szCs w:val="32"/>
        </w:rPr>
        <w:t>教育部门提出申请，经</w:t>
      </w:r>
      <w:r>
        <w:rPr>
          <w:rFonts w:hint="eastAsia" w:ascii="方正仿宋简体" w:hAnsi="方正仿宋简体" w:eastAsia="方正仿宋简体" w:cs="方正仿宋简体"/>
          <w:b/>
          <w:bCs/>
          <w:sz w:val="32"/>
          <w:szCs w:val="32"/>
          <w:lang w:eastAsia="zh-CN"/>
        </w:rPr>
        <w:t>区</w:t>
      </w:r>
      <w:r>
        <w:rPr>
          <w:rFonts w:hint="eastAsia" w:ascii="方正仿宋简体" w:hAnsi="方正仿宋简体" w:eastAsia="方正仿宋简体" w:cs="方正仿宋简体"/>
          <w:b/>
          <w:bCs/>
          <w:sz w:val="32"/>
          <w:szCs w:val="32"/>
        </w:rPr>
        <w:t>教育部门审核后，到</w:t>
      </w:r>
      <w:r>
        <w:rPr>
          <w:rFonts w:hint="eastAsia" w:ascii="方正仿宋简体" w:hAnsi="方正仿宋简体" w:eastAsia="方正仿宋简体" w:cs="方正仿宋简体"/>
          <w:b/>
          <w:bCs/>
          <w:sz w:val="32"/>
          <w:szCs w:val="32"/>
          <w:lang w:eastAsia="zh-CN"/>
        </w:rPr>
        <w:t>区</w:t>
      </w:r>
      <w:r>
        <w:rPr>
          <w:rFonts w:hint="eastAsia" w:ascii="方正仿宋简体" w:hAnsi="方正仿宋简体" w:eastAsia="方正仿宋简体" w:cs="方正仿宋简体"/>
          <w:b/>
          <w:bCs/>
          <w:sz w:val="32"/>
          <w:szCs w:val="32"/>
        </w:rPr>
        <w:t>卫生健康部门备案。卫生健康部门定期在官方网站上公布婴幼儿照护服务机构备案、变更、注销等信息。</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责任单位</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区卫健办、区教育分局、区建设局、区行政审批服务局、区市场监管局</w:t>
      </w:r>
      <w:r>
        <w:rPr>
          <w:rFonts w:hint="eastAsia" w:ascii="方正仿宋简体" w:hAnsi="方正仿宋简体" w:eastAsia="方正仿宋简体" w:cs="方正仿宋简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12.</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规范运营管理。指导婴幼儿照护服务机构按照《幼儿园、托儿所建筑设计规范》〔JGJ39-2016</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2019年修订版</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〕、《关于印发济宁市托育机构设置标准</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试行</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和济宁市托育机构管理规范</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试行</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的通知》</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济卫家庭发〔2022〕1号</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等相关规范进行升级改造。按照国家卫生健康委《关于印发托育机构保育指导大纲</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试行</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的通知》</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国卫人口发〔2021〕2号</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、国家卫生健康委办公厅《关于印发托育机构婴幼儿伤害预防指南</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试行</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的通知》</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国卫办人口函〔2021〕19号</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规范照护服务行为</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促进机构标准化运营。建立信息公示制度</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婴幼儿照护服务机构应当在经营场所对法人登记证明、备案回执、食品经营许可证、收费标准及从业人员健康证明等信息进行公示。</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责任单位</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区卫健办、区教育分局、区建设局</w:t>
      </w:r>
      <w:r>
        <w:rPr>
          <w:rFonts w:hint="eastAsia" w:ascii="方正仿宋简体" w:hAnsi="方正仿宋简体" w:eastAsia="方正仿宋简体" w:cs="方正仿宋简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13.</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强化智慧监管。依托济宁市托育管理智慧云平台，运用信息化手段对婴幼儿照护服务机构服务行为进行全程监督，将婴幼儿照护机构基本信息、安全运行、入托管理、卫生保健等纳入智慧监管范围，促进婴幼儿照护服务机构规范健康发展。</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责任单位</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区卫健办、区教育分局、区公安分局、区行政审批服务局、区市场监管局</w:t>
      </w:r>
      <w:r>
        <w:rPr>
          <w:rFonts w:hint="eastAsia" w:ascii="方正仿宋简体" w:hAnsi="方正仿宋简体" w:eastAsia="方正仿宋简体" w:cs="方正仿宋简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14.</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压实安全责任。建立健全各类婴幼儿照护服务机构安全管理制度，督促机构落实安全主体责任，按要求配备相应的消防和安全设施、器材及安保人员，实行24小时设防，安装一键式报警器和视频监控系统并与公安机关、智慧云平台联网，监控录像资料保存30日以上。按属地管理原则</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各镇</w:t>
      </w:r>
      <w:r>
        <w:rPr>
          <w:rFonts w:hint="eastAsia" w:ascii="方正仿宋简体" w:hAnsi="方正仿宋简体" w:eastAsia="方正仿宋简体" w:cs="方正仿宋简体"/>
          <w:b/>
          <w:bCs/>
          <w:sz w:val="32"/>
          <w:szCs w:val="32"/>
          <w:lang w:eastAsia="zh-CN"/>
        </w:rPr>
        <w:t>（街道）</w:t>
      </w:r>
      <w:r>
        <w:rPr>
          <w:rFonts w:hint="eastAsia" w:ascii="方正仿宋简体" w:hAnsi="方正仿宋简体" w:eastAsia="方正仿宋简体" w:cs="方正仿宋简体"/>
          <w:b/>
          <w:bCs/>
          <w:sz w:val="32"/>
          <w:szCs w:val="32"/>
        </w:rPr>
        <w:t>政府（办事处）对婴幼儿照护服务的规范发展和安全监管负主要责任。相关职能部门按照各自职责，定期开展业务指导、监督检查、安全巡查等。加强卫生健康、教育、市场监管、公安、住房城乡建设、应急管理、消防救援等多部门协作</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定期开展部门联合执法</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严防安全事故发生</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确保安全底线。</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责任单位</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各镇</w:t>
      </w:r>
      <w:r>
        <w:rPr>
          <w:rFonts w:hint="eastAsia" w:ascii="方正仿宋简体" w:hAnsi="方正仿宋简体" w:eastAsia="方正仿宋简体" w:cs="方正仿宋简体"/>
          <w:b/>
          <w:bCs/>
          <w:sz w:val="32"/>
          <w:szCs w:val="32"/>
          <w:lang w:eastAsia="zh-CN"/>
        </w:rPr>
        <w:t>（街道）</w:t>
      </w:r>
      <w:r>
        <w:rPr>
          <w:rFonts w:hint="eastAsia" w:ascii="方正仿宋简体" w:hAnsi="方正仿宋简体" w:eastAsia="方正仿宋简体" w:cs="方正仿宋简体"/>
          <w:b/>
          <w:bCs/>
          <w:sz w:val="32"/>
          <w:szCs w:val="32"/>
        </w:rPr>
        <w:t>政府（办事处），区卫健办、区教育分局、区公安分局、区建设局、区应急管理局、区市场监管局、区消防大队</w:t>
      </w:r>
      <w:r>
        <w:rPr>
          <w:rFonts w:hint="eastAsia" w:ascii="方正仿宋简体" w:hAnsi="方正仿宋简体" w:eastAsia="方正仿宋简体" w:cs="方正仿宋简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（五）</w:t>
      </w:r>
      <w:r>
        <w:rPr>
          <w:rFonts w:hint="eastAsia" w:ascii="方正楷体简体" w:hAnsi="方正楷体简体" w:eastAsia="方正楷体简体" w:cs="方正楷体简体"/>
          <w:b/>
          <w:bCs/>
          <w:sz w:val="32"/>
          <w:szCs w:val="32"/>
        </w:rPr>
        <w:t>强化婴幼儿照护服务要素保障。</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15.</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加强服务指导。建立市、区、乡三级婴幼儿照护服务指导体系，负责开展卫生综合评价、业务指导、咨询服务</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开展婴幼儿照护服务机构负责人及卫生保健人员培训，指导婴幼儿照护服务机构做好突发公共卫生事件、传染病、常见病与多发病的防控及饮食用药安全、饮用水卫生、环境卫生等工作。承担全区托育行业业务指导，强化行业规范自律。</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责任单位</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区卫健办</w:t>
      </w:r>
      <w:r>
        <w:rPr>
          <w:rFonts w:hint="eastAsia" w:ascii="方正仿宋简体" w:hAnsi="方正仿宋简体" w:eastAsia="方正仿宋简体" w:cs="方正仿宋简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16.</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加大奖补力度。压实主体责任，区管委会每年统筹安排专项资金，支持发展托育服务。加大奖补力度</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助推托育能力提升。①加大建设补助力度。区管委会对新建的托育机构</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含幼儿园托班</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按照每个托位2000元的标准给予建设补助</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经验收合格后发放到相关机构</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②发放运营补助。区管委会对已登记备案的普惠托育机构</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根据机构收托人数</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乳儿班按3000元/人/年的标准给予补助</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其他班按2000元/人/年的标准给予补助</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幼儿园单独开设托班</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且经登记备案按普惠标准提供服务的</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同等享受普惠托育机构运营补助</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经审核通过后发放到相关机构。③给予连锁补助。在全市范围内连锁经营</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同一投资主体</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3家及以上托育机构</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每家不低于50个托位</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或1家托育机构托位供给150个及以上的</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市政府给予10万元一次性补助。④加强示范奖补。2022年被评为市级示范点的机构</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市政府按照每个示范点10万元给予奖补。</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责任单位</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区经发局、区财政分局、区卫健办</w:t>
      </w:r>
      <w:r>
        <w:rPr>
          <w:rFonts w:hint="eastAsia" w:ascii="方正仿宋简体" w:hAnsi="方正仿宋简体" w:eastAsia="方正仿宋简体" w:cs="方正仿宋简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17.</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降低运营成本。通过提供场地、减免租金等政策措施</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支持社会力量、用人单位举办婴幼儿照护服务机构。婴幼儿照护服务机构用电、用水、用气、用暖按居民生活价格执行。认真落实各项税收优惠政策。协调地方金融机构为托育项目建设创新服务，合理降低融资成本。鼓励保险资金投资婴幼儿照护服务领域，承保婴幼儿照护服务责任保险和婴幼儿人身意外险。优化机构登记、备案等程序，切实优化托育服务营商环境。</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责任单位</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区经发局、区财政分局、区行政审批服务局、区税务局</w:t>
      </w:r>
      <w:r>
        <w:rPr>
          <w:rFonts w:hint="eastAsia" w:ascii="方正仿宋简体" w:hAnsi="方正仿宋简体" w:eastAsia="方正仿宋简体" w:cs="方正仿宋简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18.</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明确普惠收费标准。按照质量有保障、价格可承受、方便可及的普惠性导向，综合考虑我区居民收入水平、机构服务成本及合理利润等因素，建议收费标准乳儿班不高于2500元/人/月，托小班、托大班和混龄班不高于1900元/人/月。</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责任单位</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区经发局、区卫健办</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19.</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t>加强人才培养。</w:t>
      </w:r>
      <w:r>
        <w:rPr>
          <w:rFonts w:hint="eastAsia" w:ascii="方正仿宋简体" w:hAnsi="方正仿宋简体" w:eastAsia="方正仿宋简体" w:cs="方正仿宋简体"/>
          <w:b/>
          <w:bCs/>
          <w:sz w:val="32"/>
          <w:szCs w:val="32"/>
          <w:lang w:eastAsia="zh-CN"/>
        </w:rPr>
        <w:t>区人社</w:t>
      </w:r>
      <w:r>
        <w:rPr>
          <w:rFonts w:hint="eastAsia" w:ascii="方正仿宋简体" w:hAnsi="方正仿宋简体" w:eastAsia="方正仿宋简体" w:cs="方正仿宋简体"/>
          <w:b/>
          <w:bCs/>
          <w:sz w:val="32"/>
          <w:szCs w:val="32"/>
        </w:rPr>
        <w:t>部门做好从业人员技能培训和考核工作，将托育相关专业列入政府补贴性职业技能培训目录，把育婴师、保育员等托育服务从业人员纳入当地政府职业技能培训计划，按规定落实职业培训补贴。将托育专业纳入</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我是状元”职业技能竞赛项目。适度平衡从业人员性别比，完善从业人员队伍建设。</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责任单位</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区财政分局、区</w:t>
      </w:r>
      <w:r>
        <w:rPr>
          <w:rFonts w:hint="eastAsia" w:ascii="方正仿宋简体" w:hAnsi="方正仿宋简体" w:eastAsia="方正仿宋简体" w:cs="方正仿宋简体"/>
          <w:b/>
          <w:bCs/>
          <w:sz w:val="32"/>
          <w:szCs w:val="32"/>
          <w:lang w:eastAsia="zh-CN"/>
        </w:rPr>
        <w:t>社保中心</w:t>
      </w:r>
      <w:r>
        <w:rPr>
          <w:rFonts w:hint="eastAsia" w:ascii="方正仿宋简体" w:hAnsi="方正仿宋简体" w:eastAsia="方正仿宋简体" w:cs="方正仿宋简体"/>
          <w:b/>
          <w:bCs/>
          <w:sz w:val="32"/>
          <w:szCs w:val="32"/>
        </w:rPr>
        <w:t>、区卫健办</w:t>
      </w:r>
      <w:r>
        <w:rPr>
          <w:rFonts w:hint="eastAsia" w:ascii="方正仿宋简体" w:hAnsi="方正仿宋简体" w:eastAsia="方正仿宋简体" w:cs="方正仿宋简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五、组织实施</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lang w:eastAsia="zh-CN"/>
        </w:rPr>
        <w:t>（一）</w:t>
      </w:r>
      <w:r>
        <w:rPr>
          <w:rFonts w:hint="eastAsia" w:ascii="方正楷体简体" w:hAnsi="方正楷体简体" w:eastAsia="方正楷体简体" w:cs="方正楷体简体"/>
          <w:b/>
          <w:bCs/>
          <w:sz w:val="32"/>
          <w:szCs w:val="32"/>
        </w:rPr>
        <w:t>强化组织领导。</w:t>
      </w:r>
      <w:r>
        <w:rPr>
          <w:rFonts w:hint="eastAsia" w:ascii="方正仿宋简体" w:hAnsi="方正仿宋简体" w:eastAsia="方正仿宋简体" w:cs="方正仿宋简体"/>
          <w:b/>
          <w:bCs/>
          <w:sz w:val="32"/>
          <w:szCs w:val="32"/>
        </w:rPr>
        <w:t>各单位要高度重视婴幼儿照护服务工作，列入重要议事日程，纳入目标绩效考核，建立工作联席会议制度，定期研究解决婴幼儿照护服务工作中存在的问题。每年按照分工将婴幼儿照护服务发展工作情况报区卫健办。</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lang w:eastAsia="zh-CN"/>
        </w:rPr>
        <w:t>（二）</w:t>
      </w:r>
      <w:r>
        <w:rPr>
          <w:rFonts w:hint="eastAsia" w:ascii="方正楷体简体" w:hAnsi="方正楷体简体" w:eastAsia="方正楷体简体" w:cs="方正楷体简体"/>
          <w:b/>
          <w:bCs/>
          <w:sz w:val="32"/>
          <w:szCs w:val="32"/>
        </w:rPr>
        <w:t>强化部门协调。</w:t>
      </w:r>
      <w:r>
        <w:rPr>
          <w:rFonts w:hint="eastAsia" w:ascii="方正仿宋简体" w:hAnsi="方正仿宋简体" w:eastAsia="方正仿宋简体" w:cs="方正仿宋简体"/>
          <w:b/>
          <w:bCs/>
          <w:sz w:val="32"/>
          <w:szCs w:val="32"/>
        </w:rPr>
        <w:t>婴幼儿照护服务发展工作由</w:t>
      </w:r>
      <w:r>
        <w:rPr>
          <w:rFonts w:hint="eastAsia" w:ascii="方正仿宋简体" w:hAnsi="方正仿宋简体" w:eastAsia="方正仿宋简体" w:cs="方正仿宋简体"/>
          <w:b/>
          <w:bCs/>
          <w:sz w:val="32"/>
          <w:szCs w:val="32"/>
          <w:lang w:eastAsia="zh-CN"/>
        </w:rPr>
        <w:t>区</w:t>
      </w:r>
      <w:r>
        <w:rPr>
          <w:rFonts w:hint="eastAsia" w:ascii="方正仿宋简体" w:hAnsi="方正仿宋简体" w:eastAsia="方正仿宋简体" w:cs="方正仿宋简体"/>
          <w:b/>
          <w:bCs/>
          <w:sz w:val="32"/>
          <w:szCs w:val="32"/>
        </w:rPr>
        <w:t>卫生健康部门牵头，</w:t>
      </w:r>
      <w:r>
        <w:rPr>
          <w:rFonts w:hint="eastAsia" w:ascii="方正仿宋简体" w:hAnsi="方正仿宋简体" w:eastAsia="方正仿宋简体" w:cs="方正仿宋简体"/>
          <w:b/>
          <w:bCs/>
          <w:sz w:val="32"/>
          <w:szCs w:val="32"/>
          <w:lang w:eastAsia="zh-CN"/>
        </w:rPr>
        <w:t>区</w:t>
      </w:r>
      <w:r>
        <w:rPr>
          <w:rFonts w:hint="eastAsia" w:ascii="方正仿宋简体" w:hAnsi="方正仿宋简体" w:eastAsia="方正仿宋简体" w:cs="方正仿宋简体"/>
          <w:b/>
          <w:bCs/>
          <w:sz w:val="32"/>
          <w:szCs w:val="32"/>
        </w:rPr>
        <w:t>发展改革、教育、公安、财政、</w:t>
      </w:r>
      <w:r>
        <w:rPr>
          <w:rFonts w:hint="eastAsia" w:ascii="方正仿宋简体" w:hAnsi="方正仿宋简体" w:eastAsia="方正仿宋简体" w:cs="方正仿宋简体"/>
          <w:b/>
          <w:bCs/>
          <w:sz w:val="32"/>
          <w:szCs w:val="32"/>
          <w:lang w:eastAsia="zh-CN"/>
        </w:rPr>
        <w:t>人社</w:t>
      </w:r>
      <w:r>
        <w:rPr>
          <w:rFonts w:hint="eastAsia" w:ascii="方正仿宋简体" w:hAnsi="方正仿宋简体" w:eastAsia="方正仿宋简体" w:cs="方正仿宋简体"/>
          <w:b/>
          <w:bCs/>
          <w:sz w:val="32"/>
          <w:szCs w:val="32"/>
        </w:rPr>
        <w:t>、自然资源和规划、住房城乡建设、行政审批服务、市场监管、地方金融监管、消防救援、税务等部门要按照各自职责，加强对婴幼儿照护服务的指导、监督和管理。积极发挥工会、计划生育协会等群团组织和行业协会的作用，加强社会监督，强化行业自律</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有力推进婴幼儿照护服务健康发展。</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lang w:eastAsia="zh-CN"/>
        </w:rPr>
        <w:t>（三）</w:t>
      </w:r>
      <w:r>
        <w:rPr>
          <w:rFonts w:hint="eastAsia" w:ascii="方正楷体简体" w:hAnsi="方正楷体简体" w:eastAsia="方正楷体简体" w:cs="方正楷体简体"/>
          <w:b/>
          <w:bCs/>
          <w:sz w:val="32"/>
          <w:szCs w:val="32"/>
        </w:rPr>
        <w:t>强化宣传引导。</w:t>
      </w:r>
      <w:r>
        <w:rPr>
          <w:rFonts w:hint="eastAsia" w:ascii="方正仿宋简体" w:hAnsi="方正仿宋简体" w:eastAsia="方正仿宋简体" w:cs="方正仿宋简体"/>
          <w:b/>
          <w:bCs/>
          <w:sz w:val="32"/>
          <w:szCs w:val="32"/>
        </w:rPr>
        <w:t>各有关部门、单位要加大婴幼儿照护服务政策的宣传力度，引导社会力量积极参与婴幼儿照护服务发展。</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lang w:eastAsia="zh-CN"/>
        </w:rPr>
        <w:t>（四）</w:t>
      </w:r>
      <w:r>
        <w:rPr>
          <w:rFonts w:hint="eastAsia" w:ascii="方正楷体简体" w:hAnsi="方正楷体简体" w:eastAsia="方正楷体简体" w:cs="方正楷体简体"/>
          <w:b/>
          <w:bCs/>
          <w:sz w:val="32"/>
          <w:szCs w:val="32"/>
        </w:rPr>
        <w:t>强化监督评价。</w:t>
      </w:r>
      <w:r>
        <w:rPr>
          <w:rFonts w:hint="eastAsia" w:ascii="方正仿宋简体" w:hAnsi="方正仿宋简体" w:eastAsia="方正仿宋简体" w:cs="方正仿宋简体"/>
          <w:b/>
          <w:bCs/>
          <w:sz w:val="32"/>
          <w:szCs w:val="32"/>
        </w:rPr>
        <w:t>将婴幼儿照护服务工作纳入政府督查事项。对各级各部门、单位贯彻落实相关决策部署、政策措施等情况开展督查</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定期通报工作推进情况。各相关部门、单位切实履行对婴幼儿照护服务机构资格准入、安全监管、规范发展的主要责任</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按照各自职责履行监管责任。</w:t>
      </w:r>
    </w:p>
    <w:p>
      <w:pPr>
        <w:keepNext w:val="0"/>
        <w:keepLines w:val="0"/>
        <w:pageBreakBefore w:val="0"/>
        <w:widowControl w:val="0"/>
        <w:kinsoku/>
        <w:wordWrap/>
        <w:overflowPunct/>
        <w:topLinePunct w:val="0"/>
        <w:autoSpaceDE/>
        <w:autoSpaceDN/>
        <w:bidi w:val="0"/>
        <w:adjustRightInd/>
        <w:snapToGrid/>
        <w:spacing w:line="600" w:lineRule="exact"/>
        <w:ind w:firstLine="584" w:firstLineChars="200"/>
        <w:textAlignment w:val="auto"/>
        <w:rPr>
          <w:rFonts w:hint="eastAsia" w:ascii="方正仿宋简体" w:hAnsi="方正仿宋简体" w:eastAsia="方正仿宋简体" w:cs="方正仿宋简体"/>
          <w:b/>
          <w:bCs/>
          <w:spacing w:val="-6"/>
          <w:sz w:val="32"/>
          <w:szCs w:val="32"/>
        </w:rPr>
      </w:pPr>
      <w:r>
        <w:rPr>
          <w:rFonts w:hint="eastAsia" w:ascii="方正仿宋简体" w:hAnsi="方正仿宋简体" w:eastAsia="方正仿宋简体" w:cs="方正仿宋简体"/>
          <w:b/>
          <w:bCs/>
          <w:spacing w:val="-6"/>
          <w:sz w:val="32"/>
          <w:szCs w:val="32"/>
        </w:rPr>
        <w:t>本《方案》自印发之日起实施，有效期至2024年12月31日。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附件</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1.太白湖新区“十四五”时期3岁以下婴幼儿托位</w:t>
      </w:r>
    </w:p>
    <w:p>
      <w:pPr>
        <w:keepNext w:val="0"/>
        <w:keepLines w:val="0"/>
        <w:pageBreakBefore w:val="0"/>
        <w:widowControl w:val="0"/>
        <w:kinsoku/>
        <w:wordWrap/>
        <w:overflowPunct/>
        <w:topLinePunct w:val="0"/>
        <w:autoSpaceDE/>
        <w:autoSpaceDN/>
        <w:bidi w:val="0"/>
        <w:adjustRightInd/>
        <w:snapToGrid/>
        <w:spacing w:line="600" w:lineRule="exact"/>
        <w:ind w:firstLine="1824" w:firstLineChars="6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年度指标分解表</w:t>
      </w:r>
    </w:p>
    <w:p>
      <w:pPr>
        <w:keepNext w:val="0"/>
        <w:keepLines w:val="0"/>
        <w:pageBreakBefore w:val="0"/>
        <w:widowControl w:val="0"/>
        <w:kinsoku/>
        <w:wordWrap/>
        <w:overflowPunct/>
        <w:topLinePunct w:val="0"/>
        <w:autoSpaceDE/>
        <w:autoSpaceDN/>
        <w:bidi w:val="0"/>
        <w:adjustRightInd/>
        <w:snapToGrid/>
        <w:spacing w:line="600" w:lineRule="exact"/>
        <w:ind w:firstLine="1520" w:firstLineChars="5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2.2022-2023年3岁以下婴幼儿照护服务机构建设</w:t>
      </w:r>
    </w:p>
    <w:p>
      <w:pPr>
        <w:keepNext w:val="0"/>
        <w:keepLines w:val="0"/>
        <w:pageBreakBefore w:val="0"/>
        <w:widowControl w:val="0"/>
        <w:kinsoku/>
        <w:wordWrap/>
        <w:overflowPunct/>
        <w:topLinePunct w:val="0"/>
        <w:autoSpaceDE/>
        <w:autoSpaceDN/>
        <w:bidi w:val="0"/>
        <w:adjustRightInd/>
        <w:snapToGrid/>
        <w:spacing w:line="600" w:lineRule="exact"/>
        <w:ind w:firstLine="1824" w:firstLineChars="6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任务表</w:t>
      </w:r>
    </w:p>
    <w:p>
      <w:pPr>
        <w:keepNext w:val="0"/>
        <w:keepLines w:val="0"/>
        <w:pageBreakBefore w:val="0"/>
        <w:widowControl w:val="0"/>
        <w:kinsoku/>
        <w:wordWrap/>
        <w:overflowPunct/>
        <w:topLinePunct w:val="0"/>
        <w:autoSpaceDE/>
        <w:autoSpaceDN/>
        <w:bidi w:val="0"/>
        <w:adjustRightInd/>
        <w:snapToGrid/>
        <w:spacing w:line="600" w:lineRule="exact"/>
        <w:ind w:firstLine="1460" w:firstLineChars="500"/>
        <w:textAlignment w:val="auto"/>
        <w:rPr>
          <w:rFonts w:hint="eastAsia" w:ascii="方正仿宋简体" w:hAnsi="方正仿宋简体" w:eastAsia="方正仿宋简体" w:cs="方正仿宋简体"/>
          <w:b/>
          <w:bCs/>
          <w:spacing w:val="-6"/>
          <w:sz w:val="32"/>
          <w:szCs w:val="32"/>
        </w:rPr>
      </w:pPr>
      <w:r>
        <w:rPr>
          <w:rFonts w:hint="eastAsia" w:ascii="方正仿宋简体" w:hAnsi="方正仿宋简体" w:eastAsia="方正仿宋简体" w:cs="方正仿宋简体"/>
          <w:b/>
          <w:bCs/>
          <w:spacing w:val="-6"/>
          <w:sz w:val="32"/>
          <w:szCs w:val="32"/>
        </w:rPr>
        <w:t>3.太白湖新区促进3岁以下婴幼儿照护服务发展政策</w:t>
      </w:r>
    </w:p>
    <w:p>
      <w:pPr>
        <w:keepNext w:val="0"/>
        <w:keepLines w:val="0"/>
        <w:pageBreakBefore w:val="0"/>
        <w:widowControl w:val="0"/>
        <w:kinsoku/>
        <w:wordWrap/>
        <w:overflowPunct/>
        <w:topLinePunct w:val="0"/>
        <w:autoSpaceDE/>
        <w:autoSpaceDN/>
        <w:bidi w:val="0"/>
        <w:adjustRightInd/>
        <w:snapToGrid/>
        <w:spacing w:line="600" w:lineRule="exact"/>
        <w:ind w:firstLine="1752" w:firstLineChars="600"/>
        <w:textAlignment w:val="auto"/>
        <w:rPr>
          <w:rFonts w:hint="eastAsia" w:ascii="方正仿宋简体" w:hAnsi="方正仿宋简体" w:eastAsia="方正仿宋简体" w:cs="方正仿宋简体"/>
          <w:b/>
          <w:bCs/>
          <w:spacing w:val="-6"/>
          <w:sz w:val="32"/>
          <w:szCs w:val="32"/>
        </w:rPr>
      </w:pPr>
      <w:r>
        <w:rPr>
          <w:rFonts w:hint="eastAsia" w:ascii="方正仿宋简体" w:hAnsi="方正仿宋简体" w:eastAsia="方正仿宋简体" w:cs="方正仿宋简体"/>
          <w:b/>
          <w:bCs/>
          <w:spacing w:val="-6"/>
          <w:sz w:val="32"/>
          <w:szCs w:val="32"/>
        </w:rPr>
        <w:t>清单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rPr>
        <w:sectPr>
          <w:footerReference r:id="rId3" w:type="default"/>
          <w:pgSz w:w="11906" w:h="16838"/>
          <w:pgMar w:top="1440" w:right="1800" w:bottom="1440" w:left="1800" w:header="851" w:footer="992" w:gutter="0"/>
          <w:pgNumType w:fmt="numberInDash"/>
          <w:cols w:space="720" w:num="1"/>
          <w:rtlGutter w:val="0"/>
          <w:docGrid w:type="linesAndChars" w:linePitch="312" w:charSpace="-3449"/>
        </w:sectPr>
      </w:pPr>
    </w:p>
    <w:p>
      <w:pPr>
        <w:spacing w:before="292" w:line="224" w:lineRule="auto"/>
        <w:rPr>
          <w:rFonts w:hint="default" w:ascii="黑体" w:hAnsi="黑体" w:eastAsia="黑体" w:cs="黑体"/>
          <w:b/>
          <w:bCs/>
          <w:sz w:val="32"/>
          <w:szCs w:val="32"/>
          <w:lang w:val="en-US" w:eastAsia="zh-CN"/>
        </w:rPr>
      </w:pPr>
      <w:r>
        <w:rPr>
          <w:rFonts w:hint="eastAsia" w:ascii="黑体" w:hAnsi="黑体" w:eastAsia="黑体" w:cs="黑体"/>
          <w:b/>
          <w:bCs/>
          <w:sz w:val="32"/>
          <w:szCs w:val="32"/>
          <w:lang w:eastAsia="zh-CN"/>
        </w:rPr>
        <w:t>附件</w:t>
      </w:r>
      <w:r>
        <w:rPr>
          <w:rFonts w:hint="eastAsia" w:ascii="黑体" w:hAnsi="黑体" w:eastAsia="黑体" w:cs="黑体"/>
          <w:b/>
          <w:bCs/>
          <w:sz w:val="32"/>
          <w:szCs w:val="32"/>
          <w:lang w:val="en-US" w:eastAsia="zh-CN"/>
        </w:rPr>
        <w:t>1</w:t>
      </w:r>
    </w:p>
    <w:p>
      <w:pPr>
        <w:keepNext w:val="0"/>
        <w:keepLines w:val="0"/>
        <w:pageBreakBefore w:val="0"/>
        <w:widowControl w:val="0"/>
        <w:tabs>
          <w:tab w:val="left" w:pos="1770"/>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pacing w:val="-17"/>
          <w:w w:val="100"/>
          <w:sz w:val="44"/>
          <w:szCs w:val="44"/>
          <w:lang w:eastAsia="zh-CN"/>
        </w:rPr>
      </w:pPr>
      <w:r>
        <w:rPr>
          <w:rFonts w:hint="eastAsia" w:ascii="方正小标宋简体" w:hAnsi="方正小标宋简体" w:eastAsia="方正小标宋简体" w:cs="方正小标宋简体"/>
          <w:b/>
          <w:bCs/>
          <w:spacing w:val="-17"/>
          <w:w w:val="100"/>
          <w:sz w:val="44"/>
          <w:szCs w:val="44"/>
          <w:lang w:eastAsia="zh-CN"/>
        </w:rPr>
        <w:t>太白湖新区“十四五”时期3岁以下婴幼儿托位年度指标分解表</w:t>
      </w:r>
    </w:p>
    <w:p>
      <w:pPr>
        <w:pStyle w:val="6"/>
        <w:keepNext w:val="0"/>
        <w:keepLines w:val="0"/>
        <w:pageBreakBefore w:val="0"/>
        <w:widowControl w:val="0"/>
        <w:kinsoku/>
        <w:wordWrap/>
        <w:overflowPunct/>
        <w:topLinePunct w:val="0"/>
        <w:autoSpaceDE/>
        <w:autoSpaceDN/>
        <w:bidi w:val="0"/>
        <w:adjustRightInd/>
        <w:snapToGrid/>
        <w:spacing w:line="600" w:lineRule="exact"/>
        <w:ind w:firstLine="420"/>
        <w:jc w:val="center"/>
        <w:textAlignment w:val="auto"/>
        <w:rPr>
          <w:rFonts w:hint="eastAsia" w:ascii="方正黑体简体" w:hAnsi="方正黑体简体" w:eastAsia="方正黑体简体" w:cs="方正黑体简体"/>
          <w:sz w:val="32"/>
          <w:szCs w:val="32"/>
          <w:lang w:eastAsia="zh-CN"/>
        </w:rPr>
      </w:pPr>
      <w:r>
        <w:rPr>
          <w:rFonts w:hint="eastAsia" w:ascii="楷体" w:hAnsi="楷体" w:eastAsia="楷体" w:cs="楷体"/>
          <w:b/>
          <w:bCs/>
          <w:spacing w:val="-16"/>
          <w:w w:val="91"/>
          <w:sz w:val="35"/>
          <w:szCs w:val="35"/>
          <w:lang w:val="en-US" w:eastAsia="zh-CN"/>
        </w:rPr>
        <w:t xml:space="preserve">                                                                                        </w:t>
      </w:r>
      <w:r>
        <w:rPr>
          <w:rFonts w:hint="eastAsia" w:ascii="方正黑体简体" w:hAnsi="方正黑体简体" w:eastAsia="方正黑体简体" w:cs="方正黑体简体"/>
          <w:b/>
          <w:bCs/>
          <w:spacing w:val="-16"/>
          <w:w w:val="91"/>
          <w:sz w:val="32"/>
          <w:szCs w:val="32"/>
        </w:rPr>
        <w:t>单位</w:t>
      </w:r>
      <w:r>
        <w:rPr>
          <w:rFonts w:hint="eastAsia" w:ascii="方正黑体简体" w:hAnsi="方正黑体简体" w:eastAsia="方正黑体简体" w:cs="方正黑体简体"/>
          <w:b/>
          <w:bCs/>
          <w:spacing w:val="-16"/>
          <w:w w:val="91"/>
          <w:sz w:val="32"/>
          <w:szCs w:val="32"/>
          <w:lang w:eastAsia="zh-CN"/>
        </w:rPr>
        <w:t>：</w:t>
      </w:r>
      <w:r>
        <w:rPr>
          <w:rFonts w:hint="eastAsia" w:ascii="方正黑体简体" w:hAnsi="方正黑体简体" w:eastAsia="方正黑体简体" w:cs="方正黑体简体"/>
          <w:b/>
          <w:bCs/>
          <w:spacing w:val="-16"/>
          <w:w w:val="91"/>
          <w:sz w:val="32"/>
          <w:szCs w:val="32"/>
        </w:rPr>
        <w:t>个</w:t>
      </w:r>
    </w:p>
    <w:tbl>
      <w:tblPr>
        <w:tblStyle w:val="8"/>
        <w:tblpPr w:leftFromText="180" w:rightFromText="180" w:vertAnchor="text" w:horzAnchor="page" w:tblpX="1394" w:tblpY="354"/>
        <w:tblOverlap w:val="never"/>
        <w:tblW w:w="140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0"/>
        <w:gridCol w:w="1935"/>
        <w:gridCol w:w="1785"/>
        <w:gridCol w:w="1710"/>
        <w:gridCol w:w="1665"/>
        <w:gridCol w:w="1875"/>
        <w:gridCol w:w="1710"/>
        <w:gridCol w:w="1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650" w:type="dxa"/>
            <w:vMerge w:val="restart"/>
            <w:tcBorders>
              <w:top w:val="single" w:color="000000" w:sz="2" w:space="0"/>
              <w:bottom w:val="nil"/>
            </w:tcBorders>
            <w:noWrap w:val="0"/>
            <w:vAlign w:val="center"/>
          </w:tcPr>
          <w:p>
            <w:pPr>
              <w:spacing w:before="81" w:line="220" w:lineRule="auto"/>
              <w:jc w:val="center"/>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spacing w:val="4"/>
                <w:sz w:val="28"/>
                <w:szCs w:val="28"/>
              </w:rPr>
              <w:t>单位</w:t>
            </w:r>
          </w:p>
        </w:tc>
        <w:tc>
          <w:tcPr>
            <w:tcW w:w="1935" w:type="dxa"/>
            <w:vMerge w:val="restart"/>
            <w:tcBorders>
              <w:top w:val="single" w:color="000000" w:sz="2" w:space="0"/>
              <w:bottom w:val="nil"/>
            </w:tcBorders>
            <w:noWrap w:val="0"/>
            <w:vAlign w:val="center"/>
          </w:tcPr>
          <w:p>
            <w:pPr>
              <w:spacing w:before="50" w:line="219" w:lineRule="auto"/>
              <w:jc w:val="center"/>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color w:val="001F42"/>
                <w:spacing w:val="2"/>
                <w:sz w:val="28"/>
                <w:szCs w:val="28"/>
              </w:rPr>
              <w:t>2020年常住</w:t>
            </w:r>
          </w:p>
          <w:p>
            <w:pPr>
              <w:spacing w:before="2" w:line="208" w:lineRule="auto"/>
              <w:jc w:val="center"/>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spacing w:val="2"/>
                <w:sz w:val="28"/>
                <w:szCs w:val="28"/>
              </w:rPr>
              <w:t>人口数量</w:t>
            </w:r>
          </w:p>
          <w:p>
            <w:pPr>
              <w:spacing w:line="191" w:lineRule="auto"/>
              <w:jc w:val="center"/>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color w:val="002C53"/>
                <w:spacing w:val="13"/>
                <w:sz w:val="28"/>
                <w:szCs w:val="28"/>
                <w:lang w:eastAsia="zh-CN"/>
              </w:rPr>
              <w:t>（</w:t>
            </w:r>
            <w:r>
              <w:rPr>
                <w:rFonts w:hint="eastAsia" w:ascii="方正黑体简体" w:hAnsi="方正黑体简体" w:eastAsia="方正黑体简体" w:cs="方正黑体简体"/>
                <w:b/>
                <w:bCs/>
                <w:color w:val="002C53"/>
                <w:spacing w:val="13"/>
                <w:sz w:val="28"/>
                <w:szCs w:val="28"/>
              </w:rPr>
              <w:t>万人</w:t>
            </w:r>
            <w:r>
              <w:rPr>
                <w:rFonts w:hint="eastAsia" w:ascii="方正黑体简体" w:hAnsi="方正黑体简体" w:eastAsia="方正黑体简体" w:cs="方正黑体简体"/>
                <w:b/>
                <w:bCs/>
                <w:color w:val="002C53"/>
                <w:spacing w:val="13"/>
                <w:sz w:val="28"/>
                <w:szCs w:val="28"/>
                <w:lang w:eastAsia="zh-CN"/>
              </w:rPr>
              <w:t>）</w:t>
            </w:r>
          </w:p>
        </w:tc>
        <w:tc>
          <w:tcPr>
            <w:tcW w:w="3495" w:type="dxa"/>
            <w:gridSpan w:val="2"/>
            <w:tcBorders>
              <w:top w:val="single" w:color="000000" w:sz="2" w:space="0"/>
              <w:bottom w:val="single" w:color="000000" w:sz="2" w:space="0"/>
            </w:tcBorders>
            <w:noWrap w:val="0"/>
            <w:vAlign w:val="center"/>
          </w:tcPr>
          <w:p>
            <w:pPr>
              <w:spacing w:before="80" w:line="219" w:lineRule="auto"/>
              <w:ind w:firstLine="1323"/>
              <w:jc w:val="both"/>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color w:val="001F3F"/>
                <w:spacing w:val="2"/>
                <w:sz w:val="28"/>
                <w:szCs w:val="28"/>
              </w:rPr>
              <w:t>2022年</w:t>
            </w:r>
          </w:p>
        </w:tc>
        <w:tc>
          <w:tcPr>
            <w:tcW w:w="3540" w:type="dxa"/>
            <w:gridSpan w:val="2"/>
            <w:tcBorders>
              <w:top w:val="single" w:color="000000" w:sz="2" w:space="0"/>
              <w:bottom w:val="single" w:color="000000" w:sz="2" w:space="0"/>
            </w:tcBorders>
            <w:noWrap w:val="0"/>
            <w:vAlign w:val="center"/>
          </w:tcPr>
          <w:p>
            <w:pPr>
              <w:spacing w:before="80" w:line="219" w:lineRule="auto"/>
              <w:ind w:firstLine="1325"/>
              <w:jc w:val="both"/>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color w:val="002146"/>
                <w:spacing w:val="2"/>
                <w:sz w:val="28"/>
                <w:szCs w:val="28"/>
              </w:rPr>
              <w:t>2023年</w:t>
            </w:r>
          </w:p>
        </w:tc>
        <w:tc>
          <w:tcPr>
            <w:tcW w:w="3390" w:type="dxa"/>
            <w:gridSpan w:val="2"/>
            <w:tcBorders>
              <w:top w:val="single" w:color="000000" w:sz="2" w:space="0"/>
              <w:bottom w:val="single" w:color="000000" w:sz="2" w:space="0"/>
            </w:tcBorders>
            <w:noWrap w:val="0"/>
            <w:vAlign w:val="center"/>
          </w:tcPr>
          <w:p>
            <w:pPr>
              <w:spacing w:before="80" w:line="219" w:lineRule="auto"/>
              <w:ind w:firstLine="1318"/>
              <w:jc w:val="both"/>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color w:val="001C38"/>
                <w:spacing w:val="2"/>
                <w:sz w:val="28"/>
                <w:szCs w:val="28"/>
              </w:rPr>
              <w:t>2024年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650" w:type="dxa"/>
            <w:vMerge w:val="continue"/>
            <w:tcBorders>
              <w:top w:val="nil"/>
              <w:bottom w:val="single" w:color="000000" w:sz="2" w:space="0"/>
            </w:tcBorders>
            <w:noWrap w:val="0"/>
            <w:vAlign w:val="center"/>
          </w:tcPr>
          <w:p>
            <w:pPr>
              <w:jc w:val="center"/>
              <w:rPr>
                <w:rFonts w:hint="eastAsia" w:ascii="方正黑体简体" w:hAnsi="方正黑体简体" w:eastAsia="方正黑体简体" w:cs="方正黑体简体"/>
                <w:b/>
                <w:bCs/>
                <w:sz w:val="28"/>
                <w:szCs w:val="28"/>
              </w:rPr>
            </w:pPr>
          </w:p>
        </w:tc>
        <w:tc>
          <w:tcPr>
            <w:tcW w:w="1935" w:type="dxa"/>
            <w:vMerge w:val="continue"/>
            <w:tcBorders>
              <w:top w:val="nil"/>
              <w:bottom w:val="single" w:color="000000" w:sz="2" w:space="0"/>
            </w:tcBorders>
            <w:noWrap w:val="0"/>
            <w:vAlign w:val="center"/>
          </w:tcPr>
          <w:p>
            <w:pPr>
              <w:jc w:val="center"/>
              <w:rPr>
                <w:rFonts w:hint="eastAsia" w:ascii="方正黑体简体" w:hAnsi="方正黑体简体" w:eastAsia="方正黑体简体" w:cs="方正黑体简体"/>
                <w:b/>
                <w:bCs/>
                <w:sz w:val="28"/>
                <w:szCs w:val="28"/>
              </w:rPr>
            </w:pPr>
          </w:p>
        </w:tc>
        <w:tc>
          <w:tcPr>
            <w:tcW w:w="1785" w:type="dxa"/>
            <w:tcBorders>
              <w:top w:val="single" w:color="000000" w:sz="2" w:space="0"/>
              <w:bottom w:val="single" w:color="000000" w:sz="2" w:space="0"/>
            </w:tcBorders>
            <w:noWrap w:val="0"/>
            <w:vAlign w:val="center"/>
          </w:tcPr>
          <w:p>
            <w:pPr>
              <w:spacing w:before="125" w:line="219" w:lineRule="auto"/>
              <w:jc w:val="center"/>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spacing w:val="-2"/>
                <w:sz w:val="28"/>
                <w:szCs w:val="28"/>
              </w:rPr>
              <w:t>新增托位数</w:t>
            </w:r>
          </w:p>
        </w:tc>
        <w:tc>
          <w:tcPr>
            <w:tcW w:w="1710" w:type="dxa"/>
            <w:tcBorders>
              <w:top w:val="single" w:color="000000" w:sz="2" w:space="0"/>
              <w:bottom w:val="single" w:color="000000" w:sz="2" w:space="0"/>
            </w:tcBorders>
            <w:noWrap w:val="0"/>
            <w:vAlign w:val="center"/>
          </w:tcPr>
          <w:p>
            <w:pPr>
              <w:spacing w:before="125" w:line="219" w:lineRule="auto"/>
              <w:jc w:val="center"/>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spacing w:val="2"/>
                <w:sz w:val="28"/>
                <w:szCs w:val="28"/>
              </w:rPr>
              <w:t>累计托位数</w:t>
            </w:r>
          </w:p>
        </w:tc>
        <w:tc>
          <w:tcPr>
            <w:tcW w:w="1665" w:type="dxa"/>
            <w:tcBorders>
              <w:top w:val="single" w:color="000000" w:sz="2" w:space="0"/>
              <w:bottom w:val="single" w:color="000000" w:sz="2" w:space="0"/>
            </w:tcBorders>
            <w:noWrap w:val="0"/>
            <w:vAlign w:val="center"/>
          </w:tcPr>
          <w:p>
            <w:pPr>
              <w:spacing w:before="125" w:line="219" w:lineRule="auto"/>
              <w:jc w:val="center"/>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spacing w:val="-2"/>
                <w:sz w:val="28"/>
                <w:szCs w:val="28"/>
              </w:rPr>
              <w:t>新增托位数</w:t>
            </w:r>
          </w:p>
        </w:tc>
        <w:tc>
          <w:tcPr>
            <w:tcW w:w="1875" w:type="dxa"/>
            <w:tcBorders>
              <w:top w:val="single" w:color="000000" w:sz="2" w:space="0"/>
              <w:bottom w:val="single" w:color="000000" w:sz="2" w:space="0"/>
            </w:tcBorders>
            <w:noWrap w:val="0"/>
            <w:vAlign w:val="center"/>
          </w:tcPr>
          <w:p>
            <w:pPr>
              <w:spacing w:before="125" w:line="219" w:lineRule="auto"/>
              <w:jc w:val="center"/>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spacing w:val="2"/>
                <w:sz w:val="28"/>
                <w:szCs w:val="28"/>
              </w:rPr>
              <w:t>累计托位数</w:t>
            </w:r>
          </w:p>
        </w:tc>
        <w:tc>
          <w:tcPr>
            <w:tcW w:w="1710" w:type="dxa"/>
            <w:tcBorders>
              <w:top w:val="single" w:color="000000" w:sz="2" w:space="0"/>
              <w:bottom w:val="single" w:color="000000" w:sz="2" w:space="0"/>
            </w:tcBorders>
            <w:noWrap w:val="0"/>
            <w:vAlign w:val="center"/>
          </w:tcPr>
          <w:p>
            <w:pPr>
              <w:spacing w:before="125" w:line="219" w:lineRule="auto"/>
              <w:jc w:val="center"/>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spacing w:val="-2"/>
                <w:sz w:val="28"/>
                <w:szCs w:val="28"/>
              </w:rPr>
              <w:t>新增托位数</w:t>
            </w:r>
          </w:p>
        </w:tc>
        <w:tc>
          <w:tcPr>
            <w:tcW w:w="1680" w:type="dxa"/>
            <w:tcBorders>
              <w:top w:val="single" w:color="000000" w:sz="2" w:space="0"/>
              <w:bottom w:val="single" w:color="000000" w:sz="2" w:space="0"/>
            </w:tcBorders>
            <w:noWrap w:val="0"/>
            <w:vAlign w:val="center"/>
          </w:tcPr>
          <w:p>
            <w:pPr>
              <w:spacing w:before="125" w:line="219" w:lineRule="auto"/>
              <w:jc w:val="center"/>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spacing w:val="2"/>
                <w:sz w:val="28"/>
                <w:szCs w:val="28"/>
              </w:rPr>
              <w:t>累计托位数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650" w:type="dxa"/>
            <w:tcBorders>
              <w:top w:val="single" w:color="000000" w:sz="2" w:space="0"/>
              <w:bottom w:val="single" w:color="000000" w:sz="2" w:space="0"/>
            </w:tcBorders>
            <w:noWrap w:val="0"/>
            <w:vAlign w:val="center"/>
          </w:tcPr>
          <w:p>
            <w:pPr>
              <w:jc w:val="center"/>
              <w:rPr>
                <w:rFonts w:hint="eastAsia" w:ascii="方正仿宋简体" w:hAnsi="方正仿宋简体" w:eastAsia="方正仿宋简体" w:cs="方正仿宋简体"/>
                <w:b/>
                <w:bCs/>
                <w:sz w:val="28"/>
                <w:szCs w:val="28"/>
                <w:lang w:eastAsia="zh-CN"/>
              </w:rPr>
            </w:pPr>
            <w:r>
              <w:rPr>
                <w:rFonts w:hint="eastAsia" w:ascii="方正仿宋简体" w:hAnsi="方正仿宋简体" w:eastAsia="方正仿宋简体" w:cs="方正仿宋简体"/>
                <w:b/>
                <w:bCs/>
                <w:sz w:val="28"/>
                <w:szCs w:val="28"/>
                <w:lang w:eastAsia="zh-CN"/>
              </w:rPr>
              <w:t>石桥镇</w:t>
            </w:r>
          </w:p>
        </w:tc>
        <w:tc>
          <w:tcPr>
            <w:tcW w:w="1935" w:type="dxa"/>
            <w:tcBorders>
              <w:top w:val="single" w:color="000000" w:sz="2" w:space="0"/>
              <w:bottom w:val="single" w:color="000000" w:sz="2" w:space="0"/>
            </w:tcBorders>
            <w:noWrap w:val="0"/>
            <w:vAlign w:val="center"/>
          </w:tcPr>
          <w:p>
            <w:pPr>
              <w:jc w:val="center"/>
              <w:rPr>
                <w:rFonts w:hint="eastAsia"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lang w:val="en-US" w:eastAsia="zh-CN"/>
              </w:rPr>
              <w:t>6.8</w:t>
            </w:r>
          </w:p>
        </w:tc>
        <w:tc>
          <w:tcPr>
            <w:tcW w:w="1785" w:type="dxa"/>
            <w:tcBorders>
              <w:top w:val="single" w:color="000000" w:sz="2" w:space="0"/>
              <w:bottom w:val="single" w:color="000000" w:sz="2" w:space="0"/>
            </w:tcBorders>
            <w:noWrap w:val="0"/>
            <w:vAlign w:val="center"/>
          </w:tcPr>
          <w:p>
            <w:pPr>
              <w:jc w:val="center"/>
              <w:rPr>
                <w:rFonts w:hint="eastAsia"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lang w:val="en-US" w:eastAsia="zh-CN"/>
              </w:rPr>
              <w:t>40</w:t>
            </w:r>
          </w:p>
        </w:tc>
        <w:tc>
          <w:tcPr>
            <w:tcW w:w="1710" w:type="dxa"/>
            <w:tcBorders>
              <w:top w:val="single" w:color="000000" w:sz="2" w:space="0"/>
              <w:bottom w:val="single" w:color="000000" w:sz="2" w:space="0"/>
            </w:tcBorders>
            <w:noWrap w:val="0"/>
            <w:vAlign w:val="center"/>
          </w:tcPr>
          <w:p>
            <w:pPr>
              <w:jc w:val="center"/>
              <w:rPr>
                <w:rFonts w:hint="eastAsia"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lang w:val="en-US" w:eastAsia="zh-CN"/>
              </w:rPr>
              <w:t>40</w:t>
            </w:r>
          </w:p>
        </w:tc>
        <w:tc>
          <w:tcPr>
            <w:tcW w:w="1665" w:type="dxa"/>
            <w:tcBorders>
              <w:top w:val="single" w:color="000000" w:sz="2" w:space="0"/>
              <w:bottom w:val="single" w:color="000000" w:sz="2" w:space="0"/>
            </w:tcBorders>
            <w:noWrap w:val="0"/>
            <w:vAlign w:val="center"/>
          </w:tcPr>
          <w:p>
            <w:pPr>
              <w:jc w:val="center"/>
              <w:rPr>
                <w:rFonts w:hint="eastAsia"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lang w:val="en-US" w:eastAsia="zh-CN"/>
              </w:rPr>
              <w:t>40</w:t>
            </w:r>
          </w:p>
        </w:tc>
        <w:tc>
          <w:tcPr>
            <w:tcW w:w="1875" w:type="dxa"/>
            <w:tcBorders>
              <w:top w:val="single" w:color="000000" w:sz="2" w:space="0"/>
              <w:bottom w:val="single" w:color="000000" w:sz="2" w:space="0"/>
            </w:tcBorders>
            <w:noWrap w:val="0"/>
            <w:vAlign w:val="center"/>
          </w:tcPr>
          <w:p>
            <w:pPr>
              <w:jc w:val="center"/>
              <w:rPr>
                <w:rFonts w:hint="eastAsia"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lang w:val="en-US" w:eastAsia="zh-CN"/>
              </w:rPr>
              <w:t>80</w:t>
            </w:r>
          </w:p>
        </w:tc>
        <w:tc>
          <w:tcPr>
            <w:tcW w:w="1710" w:type="dxa"/>
            <w:tcBorders>
              <w:top w:val="single" w:color="000000" w:sz="2" w:space="0"/>
              <w:bottom w:val="single" w:color="000000" w:sz="2" w:space="0"/>
            </w:tcBorders>
            <w:noWrap w:val="0"/>
            <w:vAlign w:val="center"/>
          </w:tcPr>
          <w:p>
            <w:pPr>
              <w:jc w:val="center"/>
              <w:rPr>
                <w:rFonts w:hint="eastAsia"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lang w:val="en-US" w:eastAsia="zh-CN"/>
              </w:rPr>
              <w:t>20</w:t>
            </w:r>
          </w:p>
        </w:tc>
        <w:tc>
          <w:tcPr>
            <w:tcW w:w="1680" w:type="dxa"/>
            <w:tcBorders>
              <w:top w:val="single" w:color="000000" w:sz="2" w:space="0"/>
              <w:bottom w:val="single" w:color="000000" w:sz="2" w:space="0"/>
            </w:tcBorders>
            <w:noWrap w:val="0"/>
            <w:vAlign w:val="center"/>
          </w:tcPr>
          <w:p>
            <w:pPr>
              <w:jc w:val="center"/>
              <w:rPr>
                <w:rFonts w:hint="eastAsia"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650" w:type="dxa"/>
            <w:tcBorders>
              <w:top w:val="single" w:color="000000" w:sz="2" w:space="0"/>
              <w:bottom w:val="single" w:color="000000" w:sz="2" w:space="0"/>
            </w:tcBorders>
            <w:noWrap w:val="0"/>
            <w:vAlign w:val="center"/>
          </w:tcPr>
          <w:p>
            <w:pPr>
              <w:jc w:val="center"/>
              <w:rPr>
                <w:rFonts w:hint="eastAsia" w:ascii="方正仿宋简体" w:hAnsi="方正仿宋简体" w:eastAsia="方正仿宋简体" w:cs="方正仿宋简体"/>
                <w:b/>
                <w:bCs/>
                <w:sz w:val="28"/>
                <w:szCs w:val="28"/>
                <w:lang w:eastAsia="zh-CN"/>
              </w:rPr>
            </w:pPr>
            <w:r>
              <w:rPr>
                <w:rFonts w:hint="eastAsia" w:ascii="方正仿宋简体" w:hAnsi="方正仿宋简体" w:eastAsia="方正仿宋简体" w:cs="方正仿宋简体"/>
                <w:b/>
                <w:bCs/>
                <w:sz w:val="28"/>
                <w:szCs w:val="28"/>
                <w:lang w:eastAsia="zh-CN"/>
              </w:rPr>
              <w:t>许庄街道</w:t>
            </w:r>
          </w:p>
        </w:tc>
        <w:tc>
          <w:tcPr>
            <w:tcW w:w="1935" w:type="dxa"/>
            <w:tcBorders>
              <w:top w:val="single" w:color="000000" w:sz="2" w:space="0"/>
              <w:bottom w:val="single" w:color="000000" w:sz="2" w:space="0"/>
            </w:tcBorders>
            <w:noWrap w:val="0"/>
            <w:vAlign w:val="center"/>
          </w:tcPr>
          <w:p>
            <w:pPr>
              <w:jc w:val="center"/>
              <w:rPr>
                <w:rFonts w:hint="eastAsia"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lang w:val="en-US" w:eastAsia="zh-CN"/>
              </w:rPr>
              <w:t>10.18</w:t>
            </w:r>
          </w:p>
        </w:tc>
        <w:tc>
          <w:tcPr>
            <w:tcW w:w="1785" w:type="dxa"/>
            <w:tcBorders>
              <w:top w:val="single" w:color="000000" w:sz="2" w:space="0"/>
              <w:bottom w:val="single" w:color="000000" w:sz="2" w:space="0"/>
            </w:tcBorders>
            <w:noWrap w:val="0"/>
            <w:vAlign w:val="center"/>
          </w:tcPr>
          <w:p>
            <w:pPr>
              <w:jc w:val="center"/>
              <w:rPr>
                <w:rFonts w:hint="eastAsia"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lang w:val="en-US" w:eastAsia="zh-CN"/>
              </w:rPr>
              <w:t>189</w:t>
            </w:r>
          </w:p>
        </w:tc>
        <w:tc>
          <w:tcPr>
            <w:tcW w:w="1710" w:type="dxa"/>
            <w:tcBorders>
              <w:top w:val="single" w:color="000000" w:sz="2" w:space="0"/>
              <w:bottom w:val="single" w:color="000000" w:sz="2" w:space="0"/>
            </w:tcBorders>
            <w:noWrap w:val="0"/>
            <w:vAlign w:val="center"/>
          </w:tcPr>
          <w:p>
            <w:pPr>
              <w:jc w:val="center"/>
              <w:rPr>
                <w:rFonts w:hint="eastAsia"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lang w:val="en-US" w:eastAsia="zh-CN"/>
              </w:rPr>
              <w:t>599</w:t>
            </w:r>
          </w:p>
        </w:tc>
        <w:tc>
          <w:tcPr>
            <w:tcW w:w="1665" w:type="dxa"/>
            <w:tcBorders>
              <w:top w:val="single" w:color="000000" w:sz="2" w:space="0"/>
              <w:bottom w:val="single" w:color="000000" w:sz="2" w:space="0"/>
            </w:tcBorders>
            <w:noWrap w:val="0"/>
            <w:vAlign w:val="center"/>
          </w:tcPr>
          <w:p>
            <w:pPr>
              <w:jc w:val="center"/>
              <w:rPr>
                <w:rFonts w:hint="eastAsia"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lang w:val="en-US" w:eastAsia="zh-CN"/>
              </w:rPr>
              <w:t>142</w:t>
            </w:r>
          </w:p>
        </w:tc>
        <w:tc>
          <w:tcPr>
            <w:tcW w:w="1875" w:type="dxa"/>
            <w:tcBorders>
              <w:top w:val="single" w:color="000000" w:sz="2" w:space="0"/>
              <w:bottom w:val="single" w:color="000000" w:sz="2" w:space="0"/>
            </w:tcBorders>
            <w:noWrap w:val="0"/>
            <w:vAlign w:val="center"/>
          </w:tcPr>
          <w:p>
            <w:pPr>
              <w:jc w:val="center"/>
              <w:rPr>
                <w:rFonts w:hint="eastAsia"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lang w:val="en-US" w:eastAsia="zh-CN"/>
              </w:rPr>
              <w:t>741</w:t>
            </w:r>
          </w:p>
        </w:tc>
        <w:tc>
          <w:tcPr>
            <w:tcW w:w="1710" w:type="dxa"/>
            <w:tcBorders>
              <w:top w:val="single" w:color="000000" w:sz="2" w:space="0"/>
              <w:bottom w:val="single" w:color="000000" w:sz="2" w:space="0"/>
            </w:tcBorders>
            <w:noWrap w:val="0"/>
            <w:vAlign w:val="center"/>
          </w:tcPr>
          <w:p>
            <w:pPr>
              <w:jc w:val="center"/>
              <w:rPr>
                <w:rFonts w:hint="eastAsia"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lang w:val="en-US" w:eastAsia="zh-CN"/>
              </w:rPr>
              <w:t>162</w:t>
            </w:r>
          </w:p>
        </w:tc>
        <w:tc>
          <w:tcPr>
            <w:tcW w:w="1680" w:type="dxa"/>
            <w:tcBorders>
              <w:top w:val="single" w:color="000000" w:sz="2" w:space="0"/>
              <w:bottom w:val="single" w:color="000000" w:sz="2" w:space="0"/>
            </w:tcBorders>
            <w:noWrap w:val="0"/>
            <w:vAlign w:val="center"/>
          </w:tcPr>
          <w:p>
            <w:pPr>
              <w:jc w:val="center"/>
              <w:rPr>
                <w:rFonts w:hint="eastAsia"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lang w:val="en-US" w:eastAsia="zh-CN"/>
              </w:rPr>
              <w:t>903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650" w:type="dxa"/>
            <w:tcBorders>
              <w:top w:val="single" w:color="000000" w:sz="2" w:space="0"/>
              <w:bottom w:val="single" w:color="000000" w:sz="2" w:space="0"/>
            </w:tcBorders>
            <w:noWrap w:val="0"/>
            <w:vAlign w:val="center"/>
          </w:tcPr>
          <w:p>
            <w:pPr>
              <w:jc w:val="center"/>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太白湖新区</w:t>
            </w:r>
          </w:p>
        </w:tc>
        <w:tc>
          <w:tcPr>
            <w:tcW w:w="1935" w:type="dxa"/>
            <w:tcBorders>
              <w:top w:val="single" w:color="000000" w:sz="2" w:space="0"/>
              <w:bottom w:val="single" w:color="000000" w:sz="2" w:space="0"/>
            </w:tcBorders>
            <w:noWrap w:val="0"/>
            <w:vAlign w:val="center"/>
          </w:tcPr>
          <w:p>
            <w:pPr>
              <w:jc w:val="center"/>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16.98</w:t>
            </w:r>
          </w:p>
        </w:tc>
        <w:tc>
          <w:tcPr>
            <w:tcW w:w="1785" w:type="dxa"/>
            <w:tcBorders>
              <w:top w:val="single" w:color="000000" w:sz="2" w:space="0"/>
              <w:bottom w:val="single" w:color="000000" w:sz="2" w:space="0"/>
            </w:tcBorders>
            <w:noWrap w:val="0"/>
            <w:vAlign w:val="center"/>
          </w:tcPr>
          <w:p>
            <w:pPr>
              <w:jc w:val="center"/>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229</w:t>
            </w:r>
          </w:p>
        </w:tc>
        <w:tc>
          <w:tcPr>
            <w:tcW w:w="1710" w:type="dxa"/>
            <w:tcBorders>
              <w:top w:val="single" w:color="000000" w:sz="2" w:space="0"/>
              <w:bottom w:val="single" w:color="000000" w:sz="2" w:space="0"/>
            </w:tcBorders>
            <w:noWrap w:val="0"/>
            <w:vAlign w:val="center"/>
          </w:tcPr>
          <w:p>
            <w:pPr>
              <w:jc w:val="center"/>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639</w:t>
            </w:r>
          </w:p>
        </w:tc>
        <w:tc>
          <w:tcPr>
            <w:tcW w:w="1665" w:type="dxa"/>
            <w:tcBorders>
              <w:top w:val="single" w:color="000000" w:sz="2" w:space="0"/>
              <w:bottom w:val="single" w:color="000000" w:sz="2" w:space="0"/>
            </w:tcBorders>
            <w:noWrap w:val="0"/>
            <w:vAlign w:val="center"/>
          </w:tcPr>
          <w:p>
            <w:pPr>
              <w:jc w:val="center"/>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182</w:t>
            </w:r>
          </w:p>
        </w:tc>
        <w:tc>
          <w:tcPr>
            <w:tcW w:w="1875" w:type="dxa"/>
            <w:tcBorders>
              <w:top w:val="single" w:color="000000" w:sz="2" w:space="0"/>
              <w:bottom w:val="single" w:color="000000" w:sz="2" w:space="0"/>
            </w:tcBorders>
            <w:noWrap w:val="0"/>
            <w:vAlign w:val="center"/>
          </w:tcPr>
          <w:p>
            <w:pPr>
              <w:jc w:val="center"/>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821</w:t>
            </w:r>
          </w:p>
        </w:tc>
        <w:tc>
          <w:tcPr>
            <w:tcW w:w="1710" w:type="dxa"/>
            <w:tcBorders>
              <w:top w:val="single" w:color="000000" w:sz="2" w:space="0"/>
              <w:bottom w:val="single" w:color="000000" w:sz="2" w:space="0"/>
            </w:tcBorders>
            <w:noWrap w:val="0"/>
            <w:vAlign w:val="center"/>
          </w:tcPr>
          <w:p>
            <w:pPr>
              <w:jc w:val="center"/>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182</w:t>
            </w:r>
          </w:p>
        </w:tc>
        <w:tc>
          <w:tcPr>
            <w:tcW w:w="1680" w:type="dxa"/>
            <w:tcBorders>
              <w:top w:val="single" w:color="000000" w:sz="2" w:space="0"/>
              <w:bottom w:val="single" w:color="000000" w:sz="2" w:space="0"/>
            </w:tcBorders>
            <w:noWrap w:val="0"/>
            <w:vAlign w:val="center"/>
          </w:tcPr>
          <w:p>
            <w:pPr>
              <w:jc w:val="center"/>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1003</w:t>
            </w:r>
          </w:p>
        </w:tc>
      </w:tr>
    </w:tbl>
    <w:p>
      <w:pPr>
        <w:spacing w:before="184" w:line="193" w:lineRule="auto"/>
        <w:ind w:firstLine="15812" w:firstLineChars="4500"/>
        <w:rPr>
          <w:rFonts w:ascii="楷体" w:hAnsi="楷体" w:eastAsia="楷体" w:cs="楷体"/>
          <w:b/>
          <w:bCs/>
          <w:sz w:val="35"/>
          <w:szCs w:val="35"/>
        </w:rPr>
      </w:pPr>
    </w:p>
    <w:p>
      <w:pPr>
        <w:rPr>
          <w:rFonts w:ascii="Arial"/>
          <w:sz w:val="21"/>
        </w:rPr>
      </w:pPr>
    </w:p>
    <w:p>
      <w:pPr>
        <w:sectPr>
          <w:footerReference r:id="rId4" w:type="default"/>
          <w:pgSz w:w="16840" w:h="11900"/>
          <w:pgMar w:top="1011" w:right="1106" w:bottom="809" w:left="1348" w:header="0" w:footer="0" w:gutter="0"/>
          <w:pgNumType w:fmt="numberInDash"/>
          <w:cols w:space="720" w:num="1"/>
        </w:sectPr>
      </w:pPr>
    </w:p>
    <w:p>
      <w:pPr>
        <w:spacing w:before="263" w:line="224" w:lineRule="auto"/>
        <w:ind w:firstLine="377"/>
        <w:rPr>
          <w:rFonts w:ascii="黑体" w:hAnsi="黑体" w:eastAsia="黑体" w:cs="黑体"/>
          <w:b/>
          <w:bCs/>
          <w:spacing w:val="1"/>
          <w:sz w:val="46"/>
          <w:szCs w:val="46"/>
        </w:rPr>
      </w:pPr>
      <w:r>
        <w:rPr>
          <w:rFonts w:hint="eastAsia" w:ascii="方正黑体简体" w:hAnsi="方正黑体简体" w:eastAsia="方正黑体简体" w:cs="方正黑体简体"/>
          <w:b/>
          <w:bCs/>
          <w:sz w:val="32"/>
          <w:szCs w:val="32"/>
          <w:lang w:eastAsia="zh-CN"/>
        </w:rPr>
        <w:t>附件</w:t>
      </w:r>
      <w:r>
        <w:rPr>
          <w:rFonts w:hint="eastAsia" w:ascii="方正黑体简体" w:hAnsi="方正黑体简体" w:eastAsia="方正黑体简体" w:cs="方正黑体简体"/>
          <w:b/>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firstLine="1775" w:firstLineChars="400"/>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pacing w:val="1"/>
          <w:sz w:val="44"/>
          <w:szCs w:val="44"/>
        </w:rPr>
        <w:t>2022-2023年3岁以下婴幼儿照护服务机构建设任务表</w:t>
      </w:r>
    </w:p>
    <w:tbl>
      <w:tblPr>
        <w:tblStyle w:val="8"/>
        <w:tblpPr w:leftFromText="180" w:rightFromText="180" w:vertAnchor="text" w:horzAnchor="page" w:tblpX="1704" w:tblpY="506"/>
        <w:tblOverlap w:val="never"/>
        <w:tblW w:w="135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4"/>
        <w:gridCol w:w="1998"/>
        <w:gridCol w:w="1999"/>
        <w:gridCol w:w="1998"/>
        <w:gridCol w:w="1988"/>
        <w:gridCol w:w="1989"/>
        <w:gridCol w:w="1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754" w:type="dxa"/>
            <w:vMerge w:val="restart"/>
            <w:tcBorders>
              <w:top w:val="single" w:color="000000" w:sz="2" w:space="0"/>
              <w:bottom w:val="nil"/>
            </w:tcBorders>
            <w:noWrap w:val="0"/>
            <w:vAlign w:val="center"/>
          </w:tcPr>
          <w:p>
            <w:pPr>
              <w:spacing w:before="81" w:line="220" w:lineRule="auto"/>
              <w:ind w:firstLine="614"/>
              <w:jc w:val="both"/>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spacing w:val="4"/>
                <w:sz w:val="28"/>
                <w:szCs w:val="28"/>
              </w:rPr>
              <w:t>单位</w:t>
            </w:r>
          </w:p>
        </w:tc>
        <w:tc>
          <w:tcPr>
            <w:tcW w:w="3997" w:type="dxa"/>
            <w:gridSpan w:val="2"/>
            <w:tcBorders>
              <w:top w:val="single" w:color="000000" w:sz="2" w:space="0"/>
              <w:bottom w:val="single" w:color="000000" w:sz="2" w:space="0"/>
            </w:tcBorders>
            <w:noWrap w:val="0"/>
            <w:vAlign w:val="center"/>
          </w:tcPr>
          <w:p>
            <w:pPr>
              <w:spacing w:before="208" w:line="219" w:lineRule="auto"/>
              <w:jc w:val="center"/>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color w:val="001736"/>
                <w:spacing w:val="2"/>
                <w:sz w:val="28"/>
                <w:szCs w:val="28"/>
              </w:rPr>
              <w:t>公办示范机构</w:t>
            </w:r>
          </w:p>
        </w:tc>
        <w:tc>
          <w:tcPr>
            <w:tcW w:w="3986" w:type="dxa"/>
            <w:gridSpan w:val="2"/>
            <w:tcBorders>
              <w:top w:val="single" w:color="000000" w:sz="2" w:space="0"/>
              <w:bottom w:val="single" w:color="000000" w:sz="2" w:space="0"/>
            </w:tcBorders>
            <w:noWrap w:val="0"/>
            <w:vAlign w:val="center"/>
          </w:tcPr>
          <w:p>
            <w:pPr>
              <w:spacing w:before="208" w:line="219" w:lineRule="auto"/>
              <w:jc w:val="center"/>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spacing w:val="2"/>
                <w:sz w:val="28"/>
                <w:szCs w:val="28"/>
              </w:rPr>
              <w:t>街道(乡镇)机构</w:t>
            </w:r>
          </w:p>
        </w:tc>
        <w:tc>
          <w:tcPr>
            <w:tcW w:w="3858" w:type="dxa"/>
            <w:gridSpan w:val="2"/>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26" w:lineRule="auto"/>
              <w:ind w:right="0"/>
              <w:jc w:val="center"/>
              <w:textAlignment w:val="auto"/>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spacing w:val="1"/>
                <w:sz w:val="28"/>
                <w:szCs w:val="28"/>
              </w:rPr>
              <w:t>其他婴幼儿照护服务设施</w:t>
            </w:r>
            <w:r>
              <w:rPr>
                <w:rFonts w:hint="eastAsia" w:ascii="方正黑体简体" w:hAnsi="方正黑体简体" w:eastAsia="方正黑体简体" w:cs="方正黑体简体"/>
                <w:b/>
                <w:bCs/>
                <w:spacing w:val="1"/>
                <w:sz w:val="28"/>
                <w:szCs w:val="28"/>
                <w:lang w:val="en-US" w:eastAsia="zh-CN"/>
              </w:rPr>
              <w:t xml:space="preserve">    </w:t>
            </w:r>
            <w:r>
              <w:rPr>
                <w:rFonts w:hint="eastAsia" w:ascii="方正黑体简体" w:hAnsi="方正黑体简体" w:eastAsia="方正黑体简体" w:cs="方正黑体简体"/>
                <w:b/>
                <w:bCs/>
                <w:spacing w:val="-7"/>
                <w:sz w:val="28"/>
                <w:szCs w:val="28"/>
                <w:lang w:eastAsia="zh-CN"/>
              </w:rPr>
              <w:t>（</w:t>
            </w:r>
            <w:r>
              <w:rPr>
                <w:rFonts w:hint="eastAsia" w:ascii="方正黑体简体" w:hAnsi="方正黑体简体" w:eastAsia="方正黑体简体" w:cs="方正黑体简体"/>
                <w:b/>
                <w:bCs/>
                <w:spacing w:val="-7"/>
                <w:sz w:val="28"/>
                <w:szCs w:val="28"/>
              </w:rPr>
              <w:t>在园区、用人单位建设</w:t>
            </w:r>
            <w:r>
              <w:rPr>
                <w:rFonts w:hint="eastAsia" w:ascii="方正黑体简体" w:hAnsi="方正黑体简体" w:eastAsia="方正黑体简体" w:cs="方正黑体简体"/>
                <w:b/>
                <w:bCs/>
                <w:spacing w:val="-7"/>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754" w:type="dxa"/>
            <w:vMerge w:val="continue"/>
            <w:tcBorders>
              <w:top w:val="nil"/>
              <w:bottom w:val="single" w:color="000000" w:sz="2" w:space="0"/>
            </w:tcBorders>
            <w:noWrap w:val="0"/>
            <w:vAlign w:val="center"/>
          </w:tcPr>
          <w:p>
            <w:pPr>
              <w:jc w:val="center"/>
              <w:rPr>
                <w:rFonts w:hint="eastAsia" w:ascii="方正仿宋简体" w:hAnsi="方正仿宋简体" w:eastAsia="方正仿宋简体" w:cs="方正仿宋简体"/>
                <w:b/>
                <w:bCs/>
                <w:sz w:val="28"/>
                <w:szCs w:val="28"/>
              </w:rPr>
            </w:pPr>
          </w:p>
        </w:tc>
        <w:tc>
          <w:tcPr>
            <w:tcW w:w="1998" w:type="dxa"/>
            <w:tcBorders>
              <w:top w:val="single" w:color="000000" w:sz="2" w:space="0"/>
              <w:bottom w:val="single" w:color="000000" w:sz="2" w:space="0"/>
            </w:tcBorders>
            <w:noWrap w:val="0"/>
            <w:vAlign w:val="center"/>
          </w:tcPr>
          <w:p>
            <w:pPr>
              <w:spacing w:before="126" w:line="219" w:lineRule="auto"/>
              <w:jc w:val="center"/>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color w:val="002044"/>
                <w:spacing w:val="2"/>
                <w:sz w:val="28"/>
                <w:szCs w:val="28"/>
              </w:rPr>
              <w:t>2022年</w:t>
            </w:r>
          </w:p>
        </w:tc>
        <w:tc>
          <w:tcPr>
            <w:tcW w:w="1999" w:type="dxa"/>
            <w:tcBorders>
              <w:top w:val="single" w:color="000000" w:sz="2" w:space="0"/>
              <w:bottom w:val="single" w:color="000000" w:sz="2" w:space="0"/>
            </w:tcBorders>
            <w:noWrap w:val="0"/>
            <w:vAlign w:val="center"/>
          </w:tcPr>
          <w:p>
            <w:pPr>
              <w:spacing w:before="126" w:line="219" w:lineRule="auto"/>
              <w:jc w:val="center"/>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color w:val="002244"/>
                <w:spacing w:val="2"/>
                <w:sz w:val="28"/>
                <w:szCs w:val="28"/>
              </w:rPr>
              <w:t>2023年</w:t>
            </w:r>
          </w:p>
        </w:tc>
        <w:tc>
          <w:tcPr>
            <w:tcW w:w="1998" w:type="dxa"/>
            <w:tcBorders>
              <w:top w:val="single" w:color="000000" w:sz="2" w:space="0"/>
              <w:bottom w:val="single" w:color="000000" w:sz="2" w:space="0"/>
            </w:tcBorders>
            <w:noWrap w:val="0"/>
            <w:vAlign w:val="center"/>
          </w:tcPr>
          <w:p>
            <w:pPr>
              <w:spacing w:before="126" w:line="219" w:lineRule="auto"/>
              <w:ind w:firstLine="613"/>
              <w:jc w:val="both"/>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color w:val="001C40"/>
                <w:spacing w:val="2"/>
                <w:sz w:val="28"/>
                <w:szCs w:val="28"/>
              </w:rPr>
              <w:t>2022年</w:t>
            </w:r>
          </w:p>
        </w:tc>
        <w:tc>
          <w:tcPr>
            <w:tcW w:w="1988" w:type="dxa"/>
            <w:tcBorders>
              <w:top w:val="single" w:color="000000" w:sz="2" w:space="0"/>
              <w:bottom w:val="single" w:color="000000" w:sz="2" w:space="0"/>
            </w:tcBorders>
            <w:noWrap w:val="0"/>
            <w:vAlign w:val="center"/>
          </w:tcPr>
          <w:p>
            <w:pPr>
              <w:spacing w:before="126" w:line="219" w:lineRule="auto"/>
              <w:ind w:firstLine="615"/>
              <w:jc w:val="both"/>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color w:val="00173A"/>
                <w:spacing w:val="2"/>
                <w:sz w:val="28"/>
                <w:szCs w:val="28"/>
              </w:rPr>
              <w:t>2023年</w:t>
            </w:r>
          </w:p>
        </w:tc>
        <w:tc>
          <w:tcPr>
            <w:tcW w:w="1989" w:type="dxa"/>
            <w:tcBorders>
              <w:top w:val="single" w:color="000000" w:sz="2" w:space="0"/>
              <w:bottom w:val="single" w:color="000000" w:sz="2" w:space="0"/>
            </w:tcBorders>
            <w:noWrap w:val="0"/>
            <w:vAlign w:val="center"/>
          </w:tcPr>
          <w:p>
            <w:pPr>
              <w:spacing w:before="126" w:line="219" w:lineRule="auto"/>
              <w:ind w:firstLine="617"/>
              <w:jc w:val="both"/>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color w:val="001933"/>
                <w:spacing w:val="2"/>
                <w:sz w:val="28"/>
                <w:szCs w:val="28"/>
              </w:rPr>
              <w:t>2022年</w:t>
            </w:r>
          </w:p>
        </w:tc>
        <w:tc>
          <w:tcPr>
            <w:tcW w:w="1869" w:type="dxa"/>
            <w:tcBorders>
              <w:top w:val="single" w:color="000000" w:sz="2" w:space="0"/>
              <w:bottom w:val="single" w:color="000000" w:sz="2" w:space="0"/>
            </w:tcBorders>
            <w:noWrap w:val="0"/>
            <w:vAlign w:val="center"/>
          </w:tcPr>
          <w:p>
            <w:pPr>
              <w:spacing w:before="126" w:line="219" w:lineRule="auto"/>
              <w:ind w:firstLine="618"/>
              <w:jc w:val="both"/>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color w:val="001B39"/>
                <w:spacing w:val="2"/>
                <w:sz w:val="28"/>
                <w:szCs w:val="28"/>
              </w:rPr>
              <w:t>2023年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754" w:type="dxa"/>
            <w:tcBorders>
              <w:top w:val="single" w:color="000000" w:sz="2" w:space="0"/>
              <w:bottom w:val="single" w:color="000000" w:sz="2" w:space="0"/>
            </w:tcBorders>
            <w:noWrap w:val="0"/>
            <w:vAlign w:val="center"/>
          </w:tcPr>
          <w:p>
            <w:pPr>
              <w:spacing w:before="81" w:line="220" w:lineRule="auto"/>
              <w:jc w:val="center"/>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pacing w:val="4"/>
                <w:sz w:val="28"/>
                <w:szCs w:val="28"/>
              </w:rPr>
              <w:t>太白湖新区</w:t>
            </w:r>
          </w:p>
        </w:tc>
        <w:tc>
          <w:tcPr>
            <w:tcW w:w="1998" w:type="dxa"/>
            <w:tcBorders>
              <w:top w:val="single" w:color="000000" w:sz="2" w:space="0"/>
              <w:bottom w:val="single" w:color="000000" w:sz="2" w:space="0"/>
            </w:tcBorders>
            <w:noWrap w:val="0"/>
            <w:vAlign w:val="center"/>
          </w:tcPr>
          <w:p>
            <w:pPr>
              <w:spacing w:before="143" w:line="186" w:lineRule="auto"/>
              <w:ind w:firstLine="920"/>
              <w:jc w:val="both"/>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1</w:t>
            </w:r>
          </w:p>
        </w:tc>
        <w:tc>
          <w:tcPr>
            <w:tcW w:w="1999" w:type="dxa"/>
            <w:tcBorders>
              <w:top w:val="single" w:color="000000" w:sz="2" w:space="0"/>
              <w:bottom w:val="single" w:color="000000" w:sz="2" w:space="0"/>
            </w:tcBorders>
            <w:noWrap w:val="0"/>
            <w:vAlign w:val="center"/>
          </w:tcPr>
          <w:p>
            <w:pPr>
              <w:jc w:val="center"/>
              <w:rPr>
                <w:rFonts w:hint="eastAsia"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lang w:val="en-US" w:eastAsia="zh-CN"/>
              </w:rPr>
              <w:t>－</w:t>
            </w:r>
          </w:p>
        </w:tc>
        <w:tc>
          <w:tcPr>
            <w:tcW w:w="1998" w:type="dxa"/>
            <w:tcBorders>
              <w:top w:val="single" w:color="000000" w:sz="2" w:space="0"/>
              <w:bottom w:val="single" w:color="000000" w:sz="2" w:space="0"/>
            </w:tcBorders>
            <w:noWrap w:val="0"/>
            <w:vAlign w:val="center"/>
          </w:tcPr>
          <w:p>
            <w:pPr>
              <w:spacing w:before="143" w:line="186" w:lineRule="auto"/>
              <w:ind w:firstLine="923"/>
              <w:jc w:val="both"/>
              <w:rPr>
                <w:rFonts w:hint="eastAsia"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lang w:val="en-US" w:eastAsia="zh-CN"/>
              </w:rPr>
              <w:t>1</w:t>
            </w:r>
          </w:p>
        </w:tc>
        <w:tc>
          <w:tcPr>
            <w:tcW w:w="1988" w:type="dxa"/>
            <w:tcBorders>
              <w:top w:val="single" w:color="000000" w:sz="2" w:space="0"/>
              <w:bottom w:val="single" w:color="000000" w:sz="2" w:space="0"/>
            </w:tcBorders>
            <w:noWrap w:val="0"/>
            <w:vAlign w:val="center"/>
          </w:tcPr>
          <w:p>
            <w:pPr>
              <w:jc w:val="center"/>
              <w:rPr>
                <w:rFonts w:hint="eastAsia"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lang w:val="en-US" w:eastAsia="zh-CN"/>
              </w:rPr>
              <w:t>－</w:t>
            </w:r>
          </w:p>
        </w:tc>
        <w:tc>
          <w:tcPr>
            <w:tcW w:w="1989" w:type="dxa"/>
            <w:tcBorders>
              <w:top w:val="single" w:color="000000" w:sz="2" w:space="0"/>
              <w:bottom w:val="single" w:color="000000" w:sz="2" w:space="0"/>
            </w:tcBorders>
            <w:noWrap w:val="0"/>
            <w:vAlign w:val="center"/>
          </w:tcPr>
          <w:p>
            <w:pPr>
              <w:spacing w:before="143" w:line="186" w:lineRule="auto"/>
              <w:ind w:firstLine="927"/>
              <w:jc w:val="both"/>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1</w:t>
            </w:r>
          </w:p>
        </w:tc>
        <w:tc>
          <w:tcPr>
            <w:tcW w:w="1869" w:type="dxa"/>
            <w:tcBorders>
              <w:top w:val="single" w:color="000000" w:sz="2" w:space="0"/>
              <w:bottom w:val="single" w:color="000000" w:sz="2" w:space="0"/>
            </w:tcBorders>
            <w:noWrap w:val="0"/>
            <w:vAlign w:val="center"/>
          </w:tcPr>
          <w:p>
            <w:pPr>
              <w:spacing w:before="143" w:line="186" w:lineRule="auto"/>
              <w:ind w:firstLine="928"/>
              <w:jc w:val="both"/>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1</w:t>
            </w:r>
          </w:p>
        </w:tc>
      </w:tr>
    </w:tbl>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8012"/>
        </w:tabs>
        <w:bidi w:val="0"/>
        <w:jc w:val="left"/>
        <w:rPr>
          <w:rFonts w:hint="eastAsia"/>
          <w:lang w:val="en-US" w:eastAsia="zh-CN"/>
        </w:rPr>
        <w:sectPr>
          <w:footerReference r:id="rId5" w:type="default"/>
          <w:pgSz w:w="16840" w:h="11900"/>
          <w:pgMar w:top="1011" w:right="1215" w:bottom="809" w:left="1398" w:header="0" w:footer="0" w:gutter="0"/>
          <w:pgNumType w:fmt="numberInDash"/>
          <w:cols w:space="720" w:num="1"/>
        </w:sectPr>
      </w:pPr>
    </w:p>
    <w:p>
      <w:pPr>
        <w:spacing w:before="263" w:line="224" w:lineRule="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eastAsia="zh-CN"/>
        </w:rPr>
        <w:t>附件</w:t>
      </w:r>
      <w:r>
        <w:rPr>
          <w:rFonts w:hint="eastAsia" w:ascii="方正黑体简体" w:hAnsi="方正黑体简体" w:eastAsia="方正黑体简体" w:cs="方正黑体简体"/>
          <w:b/>
          <w:bCs/>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pacing w:val="1"/>
          <w:sz w:val="44"/>
          <w:szCs w:val="44"/>
        </w:rPr>
      </w:pPr>
      <w:r>
        <w:rPr>
          <w:rFonts w:hint="eastAsia" w:ascii="方正小标宋简体" w:hAnsi="方正小标宋简体" w:eastAsia="方正小标宋简体" w:cs="方正小标宋简体"/>
          <w:b/>
          <w:bCs/>
          <w:spacing w:val="1"/>
          <w:sz w:val="44"/>
          <w:szCs w:val="44"/>
          <w:lang w:eastAsia="zh-CN"/>
        </w:rPr>
        <w:t>太白湖新区</w:t>
      </w:r>
      <w:r>
        <w:rPr>
          <w:rFonts w:hint="eastAsia" w:ascii="方正小标宋简体" w:hAnsi="方正小标宋简体" w:eastAsia="方正小标宋简体" w:cs="方正小标宋简体"/>
          <w:b/>
          <w:bCs/>
          <w:spacing w:val="1"/>
          <w:sz w:val="44"/>
          <w:szCs w:val="44"/>
        </w:rPr>
        <w:t>促进3岁以下婴幼儿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pacing w:val="1"/>
          <w:sz w:val="44"/>
          <w:szCs w:val="44"/>
        </w:rPr>
        <w:t>照护服务发展</w:t>
      </w:r>
      <w:r>
        <w:rPr>
          <w:rFonts w:hint="eastAsia" w:ascii="方正小标宋简体" w:hAnsi="方正小标宋简体" w:eastAsia="方正小标宋简体" w:cs="方正小标宋简体"/>
          <w:b/>
          <w:bCs/>
          <w:spacing w:val="1"/>
          <w:sz w:val="44"/>
          <w:szCs w:val="44"/>
          <w:lang w:eastAsia="zh-CN"/>
        </w:rPr>
        <w:t>政策清单</w:t>
      </w:r>
    </w:p>
    <w:p>
      <w:pPr>
        <w:spacing w:line="59" w:lineRule="exact"/>
      </w:pPr>
    </w:p>
    <w:tbl>
      <w:tblPr>
        <w:tblStyle w:val="8"/>
        <w:tblW w:w="8895" w:type="dxa"/>
        <w:tblInd w:w="-2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735"/>
        <w:gridCol w:w="4860"/>
        <w:gridCol w:w="2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840"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spacing w:val="-3"/>
                <w:sz w:val="28"/>
                <w:szCs w:val="28"/>
              </w:rPr>
              <w:t>政策</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spacing w:val="6"/>
                <w:sz w:val="28"/>
                <w:szCs w:val="28"/>
              </w:rPr>
              <w:t>名称</w:t>
            </w:r>
          </w:p>
        </w:tc>
        <w:tc>
          <w:tcPr>
            <w:tcW w:w="73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spacing w:val="7"/>
                <w:sz w:val="28"/>
                <w:szCs w:val="28"/>
              </w:rPr>
              <w:t>序号</w:t>
            </w:r>
          </w:p>
        </w:tc>
        <w:tc>
          <w:tcPr>
            <w:tcW w:w="4860"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color w:val="001935"/>
                <w:spacing w:val="5"/>
                <w:sz w:val="28"/>
                <w:szCs w:val="28"/>
              </w:rPr>
              <w:t>支持政策内容</w:t>
            </w:r>
          </w:p>
        </w:tc>
        <w:tc>
          <w:tcPr>
            <w:tcW w:w="2460"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spacing w:val="2"/>
                <w:sz w:val="28"/>
                <w:szCs w:val="28"/>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40" w:type="dxa"/>
            <w:vMerge w:val="restart"/>
            <w:tcBorders>
              <w:top w:val="single" w:color="000000" w:sz="2"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exact"/>
              <w:ind w:firstLine="3680" w:firstLineChars="1600"/>
              <w:jc w:val="both"/>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3"/>
                <w:sz w:val="24"/>
                <w:szCs w:val="24"/>
              </w:rPr>
              <w:t>土地规划政策</w:t>
            </w:r>
          </w:p>
        </w:tc>
        <w:tc>
          <w:tcPr>
            <w:tcW w:w="73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firstLine="27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1</w:t>
            </w:r>
          </w:p>
        </w:tc>
        <w:tc>
          <w:tcPr>
            <w:tcW w:w="4860"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81" w:firstLine="456"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2"/>
                <w:sz w:val="24"/>
                <w:szCs w:val="24"/>
              </w:rPr>
              <w:t>允许教育</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医卫、福利、商服等用地类</w:t>
            </w:r>
            <w:r>
              <w:rPr>
                <w:rFonts w:hint="eastAsia" w:ascii="方正仿宋简体" w:hAnsi="方正仿宋简体" w:eastAsia="方正仿宋简体" w:cs="方正仿宋简体"/>
                <w:b/>
                <w:bCs/>
                <w:spacing w:val="9"/>
                <w:sz w:val="24"/>
                <w:szCs w:val="24"/>
              </w:rPr>
              <w:t>别用于发展托育服务</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纳入国土空间规划和</w:t>
            </w:r>
            <w:r>
              <w:rPr>
                <w:rFonts w:hint="eastAsia" w:ascii="方正仿宋简体" w:hAnsi="方正仿宋简体" w:eastAsia="方正仿宋简体" w:cs="方正仿宋简体"/>
                <w:b/>
                <w:bCs/>
                <w:spacing w:val="13"/>
                <w:w w:val="101"/>
                <w:sz w:val="24"/>
                <w:szCs w:val="24"/>
              </w:rPr>
              <w:t>年度用地指标</w:t>
            </w:r>
            <w:r>
              <w:rPr>
                <w:rFonts w:hint="eastAsia" w:ascii="方正仿宋简体" w:hAnsi="方正仿宋简体" w:eastAsia="方正仿宋简体" w:cs="方正仿宋简体"/>
                <w:b/>
                <w:bCs/>
                <w:spacing w:val="13"/>
                <w:w w:val="101"/>
                <w:sz w:val="24"/>
                <w:szCs w:val="24"/>
                <w:lang w:eastAsia="zh-CN"/>
              </w:rPr>
              <w:t>，</w:t>
            </w:r>
            <w:r>
              <w:rPr>
                <w:rFonts w:hint="eastAsia" w:ascii="方正仿宋简体" w:hAnsi="方正仿宋简体" w:eastAsia="方正仿宋简体" w:cs="方正仿宋简体"/>
                <w:b/>
                <w:bCs/>
                <w:spacing w:val="13"/>
                <w:w w:val="101"/>
                <w:sz w:val="24"/>
                <w:szCs w:val="24"/>
              </w:rPr>
              <w:t>区分营利性和非营利性</w:t>
            </w:r>
            <w:r>
              <w:rPr>
                <w:rFonts w:hint="eastAsia" w:ascii="方正仿宋简体" w:hAnsi="方正仿宋简体" w:eastAsia="方正仿宋简体" w:cs="方正仿宋简体"/>
                <w:b/>
                <w:bCs/>
                <w:spacing w:val="13"/>
                <w:w w:val="101"/>
                <w:sz w:val="24"/>
                <w:szCs w:val="24"/>
                <w:lang w:eastAsia="zh-CN"/>
              </w:rPr>
              <w:t>，</w:t>
            </w:r>
            <w:r>
              <w:rPr>
                <w:rFonts w:hint="eastAsia" w:ascii="方正仿宋简体" w:hAnsi="方正仿宋简体" w:eastAsia="方正仿宋简体" w:cs="方正仿宋简体"/>
                <w:b/>
                <w:bCs/>
                <w:spacing w:val="13"/>
                <w:w w:val="101"/>
                <w:sz w:val="24"/>
                <w:szCs w:val="24"/>
              </w:rPr>
              <w:t>优</w:t>
            </w:r>
            <w:r>
              <w:rPr>
                <w:rFonts w:hint="eastAsia" w:ascii="方正仿宋简体" w:hAnsi="方正仿宋简体" w:eastAsia="方正仿宋简体" w:cs="方正仿宋简体"/>
                <w:b/>
                <w:bCs/>
                <w:spacing w:val="1"/>
                <w:sz w:val="24"/>
                <w:szCs w:val="24"/>
              </w:rPr>
              <w:t>先安排土地利用计划。</w:t>
            </w:r>
          </w:p>
        </w:tc>
        <w:tc>
          <w:tcPr>
            <w:tcW w:w="2460"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1"/>
                <w:sz w:val="24"/>
                <w:szCs w:val="24"/>
                <w:lang w:eastAsia="zh-CN"/>
              </w:rPr>
              <w:t>区</w:t>
            </w:r>
            <w:r>
              <w:rPr>
                <w:rFonts w:hint="eastAsia" w:ascii="方正仿宋简体" w:hAnsi="方正仿宋简体" w:eastAsia="方正仿宋简体" w:cs="方正仿宋简体"/>
                <w:b/>
                <w:bCs/>
                <w:spacing w:val="1"/>
                <w:sz w:val="24"/>
                <w:szCs w:val="24"/>
              </w:rPr>
              <w:t>自然资源和规划</w:t>
            </w:r>
            <w:r>
              <w:rPr>
                <w:rFonts w:hint="eastAsia" w:ascii="方正仿宋简体" w:hAnsi="方正仿宋简体" w:eastAsia="方正仿宋简体" w:cs="方正仿宋简体"/>
                <w:b/>
                <w:bCs/>
                <w:spacing w:val="1"/>
                <w:sz w:val="24"/>
                <w:szCs w:val="24"/>
                <w:lang w:eastAsia="zh-CN"/>
              </w:rPr>
              <w:t>分</w:t>
            </w:r>
            <w:r>
              <w:rPr>
                <w:rFonts w:hint="eastAsia" w:ascii="方正仿宋简体" w:hAnsi="方正仿宋简体" w:eastAsia="方正仿宋简体" w:cs="方正仿宋简体"/>
                <w:b/>
                <w:bCs/>
                <w:spacing w:val="1"/>
                <w:sz w:val="24"/>
                <w:szCs w:val="24"/>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9" w:hRule="atLeast"/>
        </w:trPr>
        <w:tc>
          <w:tcPr>
            <w:tcW w:w="840" w:type="dxa"/>
            <w:vMerge w:val="continue"/>
            <w:tcBorders>
              <w:top w:val="nil"/>
              <w:bottom w:val="nil"/>
            </w:tcBorders>
            <w:noWrap w:val="0"/>
            <w:textDirection w:val="tbRlV"/>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p>
        </w:tc>
        <w:tc>
          <w:tcPr>
            <w:tcW w:w="73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firstLine="27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2</w:t>
            </w:r>
          </w:p>
        </w:tc>
        <w:tc>
          <w:tcPr>
            <w:tcW w:w="4860"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101" w:firstLine="452"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1"/>
                <w:sz w:val="24"/>
                <w:szCs w:val="24"/>
              </w:rPr>
              <w:t>对符合《划拨用地目录》的非营利性托</w:t>
            </w:r>
            <w:r>
              <w:rPr>
                <w:rFonts w:hint="eastAsia" w:ascii="方正仿宋简体" w:hAnsi="方正仿宋简体" w:eastAsia="方正仿宋简体" w:cs="方正仿宋简体"/>
                <w:b/>
                <w:bCs/>
                <w:spacing w:val="8"/>
                <w:sz w:val="24"/>
                <w:szCs w:val="24"/>
              </w:rPr>
              <w:t>育用地</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可采取划拨方式予以保障</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对不符</w:t>
            </w:r>
            <w:r>
              <w:rPr>
                <w:rFonts w:hint="eastAsia" w:ascii="方正仿宋简体" w:hAnsi="方正仿宋简体" w:eastAsia="方正仿宋简体" w:cs="方正仿宋简体"/>
                <w:b/>
                <w:bCs/>
                <w:spacing w:val="7"/>
                <w:sz w:val="24"/>
                <w:szCs w:val="24"/>
              </w:rPr>
              <w:t>合《划拨用地目录》的托育用地</w:t>
            </w:r>
            <w:r>
              <w:rPr>
                <w:rFonts w:hint="eastAsia" w:ascii="方正仿宋简体" w:hAnsi="方正仿宋简体" w:eastAsia="方正仿宋简体" w:cs="方正仿宋简体"/>
                <w:b/>
                <w:bCs/>
                <w:spacing w:val="7"/>
                <w:sz w:val="24"/>
                <w:szCs w:val="24"/>
                <w:lang w:eastAsia="zh-CN"/>
              </w:rPr>
              <w:t>，</w:t>
            </w:r>
            <w:r>
              <w:rPr>
                <w:rFonts w:hint="eastAsia" w:ascii="方正仿宋简体" w:hAnsi="方正仿宋简体" w:eastAsia="方正仿宋简体" w:cs="方正仿宋简体"/>
                <w:b/>
                <w:bCs/>
                <w:spacing w:val="7"/>
                <w:sz w:val="24"/>
                <w:szCs w:val="24"/>
              </w:rPr>
              <w:t>以有偿使</w:t>
            </w:r>
            <w:r>
              <w:rPr>
                <w:rFonts w:hint="eastAsia" w:ascii="方正仿宋简体" w:hAnsi="方正仿宋简体" w:eastAsia="方正仿宋简体" w:cs="方正仿宋简体"/>
                <w:b/>
                <w:bCs/>
                <w:spacing w:val="1"/>
                <w:sz w:val="24"/>
                <w:szCs w:val="24"/>
              </w:rPr>
              <w:t>用方式予以保障</w:t>
            </w:r>
            <w:r>
              <w:rPr>
                <w:rFonts w:hint="eastAsia" w:ascii="方正仿宋简体" w:hAnsi="方正仿宋简体" w:eastAsia="方正仿宋简体" w:cs="方正仿宋简体"/>
                <w:b/>
                <w:bCs/>
                <w:spacing w:val="1"/>
                <w:sz w:val="24"/>
                <w:szCs w:val="24"/>
                <w:lang w:eastAsia="zh-CN"/>
              </w:rPr>
              <w:t>，</w:t>
            </w:r>
            <w:r>
              <w:rPr>
                <w:rFonts w:hint="eastAsia" w:ascii="方正仿宋简体" w:hAnsi="方正仿宋简体" w:eastAsia="方正仿宋简体" w:cs="方正仿宋简体"/>
                <w:b/>
                <w:bCs/>
                <w:spacing w:val="1"/>
                <w:sz w:val="24"/>
                <w:szCs w:val="24"/>
              </w:rPr>
              <w:t>其有偿使用底价按教育</w:t>
            </w:r>
            <w:r>
              <w:rPr>
                <w:rFonts w:hint="eastAsia" w:ascii="方正仿宋简体" w:hAnsi="方正仿宋简体" w:eastAsia="方正仿宋简体" w:cs="方正仿宋简体"/>
                <w:b/>
                <w:bCs/>
                <w:spacing w:val="1"/>
                <w:sz w:val="24"/>
                <w:szCs w:val="24"/>
                <w:lang w:eastAsia="zh-CN"/>
              </w:rPr>
              <w:t>、</w:t>
            </w:r>
            <w:r>
              <w:rPr>
                <w:rFonts w:hint="eastAsia" w:ascii="方正仿宋简体" w:hAnsi="方正仿宋简体" w:eastAsia="方正仿宋简体" w:cs="方正仿宋简体"/>
                <w:b/>
                <w:bCs/>
                <w:spacing w:val="1"/>
                <w:sz w:val="24"/>
                <w:szCs w:val="24"/>
              </w:rPr>
              <w:t>医卫、福利等用地评估价评估后确定</w:t>
            </w:r>
            <w:r>
              <w:rPr>
                <w:rFonts w:hint="eastAsia" w:ascii="方正仿宋简体" w:hAnsi="方正仿宋简体" w:eastAsia="方正仿宋简体" w:cs="方正仿宋简体"/>
                <w:b/>
                <w:bCs/>
                <w:spacing w:val="1"/>
                <w:sz w:val="24"/>
                <w:szCs w:val="24"/>
                <w:lang w:eastAsia="zh-CN"/>
              </w:rPr>
              <w:t>。</w:t>
            </w:r>
            <w:r>
              <w:rPr>
                <w:rFonts w:hint="eastAsia" w:ascii="方正仿宋简体" w:hAnsi="方正仿宋简体" w:eastAsia="方正仿宋简体" w:cs="方正仿宋简体"/>
                <w:b/>
                <w:bCs/>
                <w:spacing w:val="1"/>
                <w:sz w:val="24"/>
                <w:szCs w:val="24"/>
              </w:rPr>
              <w:t>出让方式取得的土地可以抵押。</w:t>
            </w:r>
          </w:p>
        </w:tc>
        <w:tc>
          <w:tcPr>
            <w:tcW w:w="2460"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区自然资源和规划分局 区卫健办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1"/>
                <w:sz w:val="24"/>
                <w:szCs w:val="24"/>
                <w:lang w:eastAsia="zh-CN"/>
              </w:rPr>
              <w:t>区行政审批服务局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9" w:hRule="atLeast"/>
        </w:trPr>
        <w:tc>
          <w:tcPr>
            <w:tcW w:w="840" w:type="dxa"/>
            <w:vMerge w:val="continue"/>
            <w:tcBorders>
              <w:top w:val="nil"/>
              <w:bottom w:val="single" w:color="000000" w:sz="2" w:space="0"/>
            </w:tcBorders>
            <w:noWrap w:val="0"/>
            <w:textDirection w:val="tbRlV"/>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p>
        </w:tc>
        <w:tc>
          <w:tcPr>
            <w:tcW w:w="73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firstLine="27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3</w:t>
            </w:r>
          </w:p>
        </w:tc>
        <w:tc>
          <w:tcPr>
            <w:tcW w:w="4860" w:type="dxa"/>
            <w:tcBorders>
              <w:top w:val="single" w:color="000000" w:sz="2" w:space="0"/>
              <w:bottom w:val="single" w:color="000000" w:sz="2" w:space="0"/>
            </w:tcBorders>
            <w:noWrap w:val="0"/>
            <w:vAlign w:val="center"/>
          </w:tcPr>
          <w:p>
            <w:pPr>
              <w:keepNext w:val="0"/>
              <w:keepLines w:val="0"/>
              <w:pageBreakBefore w:val="0"/>
              <w:tabs>
                <w:tab w:val="left" w:pos="128"/>
              </w:tabs>
              <w:wordWrap/>
              <w:overflowPunct/>
              <w:topLinePunct w:val="0"/>
              <w:bidi w:val="0"/>
              <w:spacing w:line="360" w:lineRule="exact"/>
              <w:ind w:firstLine="456"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2"/>
                <w:sz w:val="24"/>
                <w:szCs w:val="24"/>
              </w:rPr>
              <w:t>在新建居住区规划、建设托育服务设施及配套安全设施</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将托育机构配建标准纳入</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济宁市区托育服务设施专项规划</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2022—2035年</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在地块规划设计条件中明确托育机构的千人配套指标</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建设规模等要求</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在修建性详细规划方案中需落实托育服务设施的建设位置、建设规模等内容</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方案审批过程中应征求托育主管部门意见。新建居住区按照每千常住人口不少于10个托位</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每个托位建筑面积不少于8平方米的标准纳入规划条件</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正在建设、尚未交付使用且未规划婴幼儿照护服务设施的居住区</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采取协议、购置、租赁、托幼一体化等适当方式</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按照每千常住人口不少于8个托位的标准予以补齐</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已建成无婴幼儿照护服务设施的居住区</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通过购置、置换、租赁等方式</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按照每千常住人口不少于8个托位的标准予以逐步完善。婴幼儿照护服务设施及配套安全设施</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与住宅同步规划、同步建设、同步验收</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同步交付使用。</w:t>
            </w:r>
          </w:p>
        </w:tc>
        <w:tc>
          <w:tcPr>
            <w:tcW w:w="2460"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区自然资源和规划分局 区建设局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区卫健办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1"/>
                <w:sz w:val="24"/>
                <w:szCs w:val="24"/>
                <w:lang w:eastAsia="zh-CN"/>
              </w:rPr>
              <w:t>区行政审批服务局</w:t>
            </w:r>
          </w:p>
        </w:tc>
      </w:tr>
    </w:tbl>
    <w:tbl>
      <w:tblPr>
        <w:tblStyle w:val="8"/>
        <w:tblpPr w:leftFromText="180" w:rightFromText="180" w:vertAnchor="text" w:horzAnchor="page" w:tblpX="1519" w:tblpY="119"/>
        <w:tblOverlap w:val="never"/>
        <w:tblW w:w="92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645"/>
        <w:gridCol w:w="4860"/>
        <w:gridCol w:w="27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960"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bCs/>
                <w:spacing w:val="-3"/>
                <w:sz w:val="28"/>
                <w:szCs w:val="28"/>
              </w:rPr>
            </w:pPr>
            <w:r>
              <w:rPr>
                <w:rFonts w:hint="eastAsia" w:ascii="方正黑体简体" w:hAnsi="方正黑体简体" w:eastAsia="方正黑体简体" w:cs="方正黑体简体"/>
                <w:b/>
                <w:bCs/>
                <w:spacing w:val="-3"/>
                <w:sz w:val="28"/>
                <w:szCs w:val="28"/>
              </w:rPr>
              <w:t>政策</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rPr>
            </w:pPr>
            <w:r>
              <w:rPr>
                <w:rFonts w:hint="eastAsia" w:ascii="方正黑体简体" w:hAnsi="方正黑体简体" w:eastAsia="方正黑体简体" w:cs="方正黑体简体"/>
                <w:b/>
                <w:bCs/>
                <w:spacing w:val="-3"/>
                <w:sz w:val="28"/>
                <w:szCs w:val="28"/>
              </w:rPr>
              <w:t>名称</w:t>
            </w:r>
          </w:p>
        </w:tc>
        <w:tc>
          <w:tcPr>
            <w:tcW w:w="64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仿宋_GB2312" w:hAnsi="仿宋_GB2312" w:eastAsia="仿宋_GB2312" w:cs="仿宋_GB2312"/>
                <w:b/>
                <w:bCs/>
                <w:sz w:val="24"/>
                <w:szCs w:val="24"/>
              </w:rPr>
            </w:pPr>
            <w:r>
              <w:rPr>
                <w:rFonts w:hint="eastAsia" w:ascii="方正黑体简体" w:hAnsi="方正黑体简体" w:eastAsia="方正黑体简体" w:cs="方正黑体简体"/>
                <w:b/>
                <w:bCs/>
                <w:color w:val="001935"/>
                <w:spacing w:val="5"/>
                <w:sz w:val="28"/>
                <w:szCs w:val="28"/>
              </w:rPr>
              <w:t>序号</w:t>
            </w:r>
          </w:p>
        </w:tc>
        <w:tc>
          <w:tcPr>
            <w:tcW w:w="4860"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firstLine="1661"/>
              <w:jc w:val="both"/>
              <w:rPr>
                <w:rFonts w:hint="eastAsia" w:ascii="仿宋_GB2312" w:hAnsi="仿宋_GB2312" w:eastAsia="仿宋_GB2312" w:cs="仿宋_GB2312"/>
                <w:b/>
                <w:bCs/>
                <w:sz w:val="24"/>
                <w:szCs w:val="24"/>
              </w:rPr>
            </w:pPr>
            <w:r>
              <w:rPr>
                <w:rFonts w:hint="eastAsia" w:ascii="方正黑体简体" w:hAnsi="方正黑体简体" w:eastAsia="方正黑体简体" w:cs="方正黑体简体"/>
                <w:b/>
                <w:bCs/>
                <w:color w:val="001935"/>
                <w:spacing w:val="5"/>
                <w:sz w:val="28"/>
                <w:szCs w:val="28"/>
              </w:rPr>
              <w:t>支持政策内容</w:t>
            </w:r>
          </w:p>
        </w:tc>
        <w:tc>
          <w:tcPr>
            <w:tcW w:w="2760"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firstLine="747"/>
              <w:jc w:val="both"/>
              <w:rPr>
                <w:rFonts w:hint="eastAsia" w:ascii="仿宋_GB2312" w:hAnsi="仿宋_GB2312" w:eastAsia="仿宋_GB2312" w:cs="仿宋_GB2312"/>
                <w:b/>
                <w:bCs/>
                <w:sz w:val="24"/>
                <w:szCs w:val="24"/>
              </w:rPr>
            </w:pPr>
            <w:r>
              <w:rPr>
                <w:rFonts w:hint="eastAsia" w:ascii="方正黑体简体" w:hAnsi="方正黑体简体" w:eastAsia="方正黑体简体" w:cs="方正黑体简体"/>
                <w:b/>
                <w:bCs/>
                <w:color w:val="001935"/>
                <w:spacing w:val="5"/>
                <w:sz w:val="28"/>
                <w:szCs w:val="28"/>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2" w:hRule="atLeast"/>
        </w:trPr>
        <w:tc>
          <w:tcPr>
            <w:tcW w:w="960" w:type="dxa"/>
            <w:vMerge w:val="restart"/>
            <w:tcBorders>
              <w:top w:val="single" w:color="000000" w:sz="2"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rPr>
            </w:pPr>
            <w:r>
              <w:rPr>
                <w:rFonts w:hint="eastAsia" w:ascii="方正仿宋简体" w:hAnsi="方正仿宋简体" w:eastAsia="方正仿宋简体" w:cs="方正仿宋简体"/>
                <w:b/>
                <w:bCs/>
                <w:spacing w:val="3"/>
                <w:sz w:val="24"/>
                <w:szCs w:val="24"/>
              </w:rPr>
              <w:t>土地规划政策</w:t>
            </w:r>
          </w:p>
        </w:tc>
        <w:tc>
          <w:tcPr>
            <w:tcW w:w="64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4</w:t>
            </w:r>
          </w:p>
        </w:tc>
        <w:tc>
          <w:tcPr>
            <w:tcW w:w="4860"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103" w:firstLine="456"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2"/>
                <w:sz w:val="24"/>
                <w:szCs w:val="24"/>
              </w:rPr>
              <w:t>创造条件允许在不调整规划的情况下</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由企业利用城镇现有闲置且符合卫生</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防护等标准的设施进行改造建设</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举办托育服务机构。涉及到土地手续的在符合上位规划的条件下</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可先建设后变更土地使用性质。</w:t>
            </w:r>
          </w:p>
        </w:tc>
        <w:tc>
          <w:tcPr>
            <w:tcW w:w="2760"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2"/>
                <w:sz w:val="24"/>
                <w:szCs w:val="24"/>
                <w:lang w:eastAsia="zh-CN"/>
              </w:rPr>
            </w:pPr>
            <w:r>
              <w:rPr>
                <w:rFonts w:hint="eastAsia" w:ascii="方正仿宋简体" w:hAnsi="方正仿宋简体" w:eastAsia="方正仿宋简体" w:cs="方正仿宋简体"/>
                <w:b/>
                <w:bCs/>
                <w:spacing w:val="2"/>
                <w:sz w:val="24"/>
                <w:szCs w:val="24"/>
                <w:lang w:eastAsia="zh-CN"/>
              </w:rPr>
              <w:t>区建设局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2"/>
                <w:sz w:val="24"/>
                <w:szCs w:val="24"/>
                <w:lang w:eastAsia="zh-CN"/>
              </w:rPr>
              <w:t xml:space="preserve">区自然资源和规划分局 </w:t>
            </w:r>
            <w:r>
              <w:rPr>
                <w:rFonts w:hint="eastAsia" w:ascii="方正仿宋简体" w:hAnsi="方正仿宋简体" w:eastAsia="方正仿宋简体" w:cs="方正仿宋简体"/>
                <w:b/>
                <w:bCs/>
                <w:spacing w:val="2"/>
                <w:sz w:val="24"/>
                <w:szCs w:val="24"/>
                <w:lang w:val="en-US" w:eastAsia="zh-CN"/>
              </w:rPr>
              <w:t xml:space="preserve">  </w:t>
            </w:r>
            <w:r>
              <w:rPr>
                <w:rFonts w:hint="eastAsia" w:ascii="方正仿宋简体" w:hAnsi="方正仿宋简体" w:eastAsia="方正仿宋简体" w:cs="方正仿宋简体"/>
                <w:b/>
                <w:bCs/>
                <w:spacing w:val="2"/>
                <w:sz w:val="24"/>
                <w:szCs w:val="24"/>
                <w:lang w:eastAsia="zh-CN"/>
              </w:rPr>
              <w:t>区行政审批服务局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4" w:hRule="atLeast"/>
        </w:trPr>
        <w:tc>
          <w:tcPr>
            <w:tcW w:w="960" w:type="dxa"/>
            <w:vMerge w:val="continue"/>
            <w:tcBorders>
              <w:top w:val="nil"/>
              <w:bottom w:val="nil"/>
            </w:tcBorders>
            <w:noWrap w:val="0"/>
            <w:textDirection w:val="tbRlV"/>
            <w:vAlign w:val="top"/>
          </w:tcPr>
          <w:p>
            <w:pPr>
              <w:keepNext w:val="0"/>
              <w:keepLines w:val="0"/>
              <w:pageBreakBefore w:val="0"/>
              <w:wordWrap/>
              <w:overflowPunct/>
              <w:topLinePunct w:val="0"/>
              <w:bidi w:val="0"/>
              <w:spacing w:line="360" w:lineRule="exact"/>
              <w:rPr>
                <w:rFonts w:hint="eastAsia" w:ascii="仿宋_GB2312" w:hAnsi="仿宋_GB2312" w:eastAsia="仿宋_GB2312" w:cs="仿宋_GB2312"/>
                <w:b/>
                <w:bCs/>
                <w:sz w:val="24"/>
                <w:szCs w:val="24"/>
              </w:rPr>
            </w:pPr>
          </w:p>
        </w:tc>
        <w:tc>
          <w:tcPr>
            <w:tcW w:w="64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5</w:t>
            </w:r>
          </w:p>
        </w:tc>
        <w:tc>
          <w:tcPr>
            <w:tcW w:w="4860"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110" w:firstLine="456"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2"/>
                <w:sz w:val="24"/>
                <w:szCs w:val="24"/>
              </w:rPr>
              <w:t>各乡镇</w:t>
            </w:r>
            <w:r>
              <w:rPr>
                <w:rFonts w:hint="eastAsia" w:ascii="方正仿宋简体" w:hAnsi="方正仿宋简体" w:eastAsia="方正仿宋简体" w:cs="方正仿宋简体"/>
                <w:b/>
                <w:bCs/>
                <w:spacing w:val="2"/>
                <w:sz w:val="24"/>
                <w:szCs w:val="24"/>
                <w:lang w:eastAsia="zh-CN"/>
              </w:rPr>
              <w:t>（街道）</w:t>
            </w:r>
            <w:r>
              <w:rPr>
                <w:rFonts w:hint="eastAsia" w:ascii="方正仿宋简体" w:hAnsi="方正仿宋简体" w:eastAsia="方正仿宋简体" w:cs="方正仿宋简体"/>
                <w:b/>
                <w:bCs/>
                <w:spacing w:val="2"/>
                <w:sz w:val="24"/>
                <w:szCs w:val="24"/>
              </w:rPr>
              <w:t>要按照年度托位建设任务要求</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提供托育场地设施。综合利用</w:t>
            </w:r>
            <w:r>
              <w:rPr>
                <w:rFonts w:hint="eastAsia" w:ascii="方正仿宋简体" w:hAnsi="方正仿宋简体" w:eastAsia="方正仿宋简体" w:cs="方正仿宋简体"/>
                <w:b/>
                <w:bCs/>
                <w:spacing w:val="2"/>
                <w:sz w:val="24"/>
                <w:szCs w:val="24"/>
                <w:lang w:eastAsia="zh-CN"/>
              </w:rPr>
              <w:t>镇、街卫生院（</w:t>
            </w:r>
            <w:r>
              <w:rPr>
                <w:rFonts w:hint="eastAsia" w:ascii="方正仿宋简体" w:hAnsi="方正仿宋简体" w:eastAsia="方正仿宋简体" w:cs="方正仿宋简体"/>
                <w:b/>
                <w:bCs/>
                <w:spacing w:val="2"/>
                <w:sz w:val="24"/>
                <w:szCs w:val="24"/>
              </w:rPr>
              <w:t>社区卫生服务中心</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幼儿园等公共服务资源</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改建普惠性婴幼儿照护服务设施。对机关事业单位、国有企业、社区等闲置用房全面梳理</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支持将符合建设婴幼儿照护服务设施的场所优先发展婴幼儿照护设施</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公有用房要免费用于普惠性婴幼儿照护服务事业</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其他闲置用房采取减免租金、延长租期等措施</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鼓励适当放宽租赁期限</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租赁期不少于3年。</w:t>
            </w:r>
          </w:p>
        </w:tc>
        <w:tc>
          <w:tcPr>
            <w:tcW w:w="2760"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区经发局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 xml:space="preserve">区自然资源和规划分局 </w:t>
            </w:r>
            <w:r>
              <w:rPr>
                <w:rFonts w:hint="eastAsia" w:ascii="方正仿宋简体" w:hAnsi="方正仿宋简体" w:eastAsia="方正仿宋简体" w:cs="方正仿宋简体"/>
                <w:b/>
                <w:bCs/>
                <w:spacing w:val="1"/>
                <w:sz w:val="24"/>
                <w:szCs w:val="24"/>
                <w:lang w:val="en-US" w:eastAsia="zh-CN"/>
              </w:rPr>
              <w:t xml:space="preserve">  </w:t>
            </w:r>
            <w:r>
              <w:rPr>
                <w:rFonts w:hint="eastAsia" w:ascii="方正仿宋简体" w:hAnsi="方正仿宋简体" w:eastAsia="方正仿宋简体" w:cs="方正仿宋简体"/>
                <w:b/>
                <w:bCs/>
                <w:spacing w:val="1"/>
                <w:sz w:val="24"/>
                <w:szCs w:val="24"/>
                <w:lang w:eastAsia="zh-CN"/>
              </w:rPr>
              <w:t>区建设局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区卫健办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区行政审批服务局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区财政分局</w:t>
            </w:r>
          </w:p>
          <w:p>
            <w:pPr>
              <w:keepNext w:val="0"/>
              <w:keepLines w:val="0"/>
              <w:pageBreakBefore w:val="0"/>
              <w:wordWrap/>
              <w:overflowPunct/>
              <w:topLinePunct w:val="0"/>
              <w:bidi w:val="0"/>
              <w:spacing w:line="360" w:lineRule="exact"/>
              <w:jc w:val="both"/>
              <w:rPr>
                <w:rFonts w:hint="eastAsia" w:ascii="方正仿宋简体" w:hAnsi="方正仿宋简体" w:eastAsia="方正仿宋简体" w:cs="方正仿宋简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960" w:type="dxa"/>
            <w:vMerge w:val="continue"/>
            <w:tcBorders>
              <w:top w:val="nil"/>
              <w:bottom w:val="nil"/>
            </w:tcBorders>
            <w:noWrap w:val="0"/>
            <w:textDirection w:val="tbRlV"/>
            <w:vAlign w:val="top"/>
          </w:tcPr>
          <w:p>
            <w:pPr>
              <w:keepNext w:val="0"/>
              <w:keepLines w:val="0"/>
              <w:pageBreakBefore w:val="0"/>
              <w:wordWrap/>
              <w:overflowPunct/>
              <w:topLinePunct w:val="0"/>
              <w:bidi w:val="0"/>
              <w:spacing w:line="360" w:lineRule="exact"/>
              <w:rPr>
                <w:rFonts w:hint="eastAsia" w:ascii="仿宋_GB2312" w:hAnsi="仿宋_GB2312" w:eastAsia="仿宋_GB2312" w:cs="仿宋_GB2312"/>
                <w:b/>
                <w:bCs/>
                <w:sz w:val="24"/>
                <w:szCs w:val="24"/>
              </w:rPr>
            </w:pPr>
          </w:p>
        </w:tc>
        <w:tc>
          <w:tcPr>
            <w:tcW w:w="64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6</w:t>
            </w:r>
          </w:p>
        </w:tc>
        <w:tc>
          <w:tcPr>
            <w:tcW w:w="4860"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102" w:firstLine="456"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2"/>
                <w:sz w:val="24"/>
                <w:szCs w:val="24"/>
              </w:rPr>
              <w:t>鼓励提供公租房免费用于发展托育服务。</w:t>
            </w:r>
          </w:p>
        </w:tc>
        <w:tc>
          <w:tcPr>
            <w:tcW w:w="2760"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1"/>
                <w:sz w:val="24"/>
                <w:szCs w:val="24"/>
                <w:lang w:eastAsia="zh-CN"/>
              </w:rPr>
              <w:t>区</w:t>
            </w:r>
            <w:r>
              <w:rPr>
                <w:rFonts w:hint="eastAsia" w:ascii="方正仿宋简体" w:hAnsi="方正仿宋简体" w:eastAsia="方正仿宋简体" w:cs="方正仿宋简体"/>
                <w:b/>
                <w:bCs/>
                <w:spacing w:val="2"/>
                <w:sz w:val="24"/>
                <w:szCs w:val="24"/>
              </w:rPr>
              <w:t>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0" w:type="dxa"/>
            <w:vMerge w:val="continue"/>
            <w:tcBorders>
              <w:top w:val="nil"/>
              <w:bottom w:val="nil"/>
            </w:tcBorders>
            <w:noWrap w:val="0"/>
            <w:textDirection w:val="tbRlV"/>
            <w:vAlign w:val="top"/>
          </w:tcPr>
          <w:p>
            <w:pPr>
              <w:keepNext w:val="0"/>
              <w:keepLines w:val="0"/>
              <w:pageBreakBefore w:val="0"/>
              <w:wordWrap/>
              <w:overflowPunct/>
              <w:topLinePunct w:val="0"/>
              <w:bidi w:val="0"/>
              <w:spacing w:line="360" w:lineRule="exact"/>
              <w:rPr>
                <w:rFonts w:hint="eastAsia" w:ascii="仿宋_GB2312" w:hAnsi="仿宋_GB2312" w:eastAsia="仿宋_GB2312" w:cs="仿宋_GB2312"/>
                <w:b/>
                <w:bCs/>
                <w:sz w:val="24"/>
                <w:szCs w:val="24"/>
              </w:rPr>
            </w:pPr>
          </w:p>
        </w:tc>
        <w:tc>
          <w:tcPr>
            <w:tcW w:w="64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7</w:t>
            </w:r>
          </w:p>
        </w:tc>
        <w:tc>
          <w:tcPr>
            <w:tcW w:w="4860"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81" w:firstLine="456"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2"/>
                <w:sz w:val="24"/>
                <w:szCs w:val="24"/>
              </w:rPr>
              <w:t>可将村集体建设用地用于托育机构建设</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由企业与村集体约定土地使用方案。</w:t>
            </w:r>
          </w:p>
        </w:tc>
        <w:tc>
          <w:tcPr>
            <w:tcW w:w="2760"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1"/>
                <w:sz w:val="24"/>
                <w:szCs w:val="24"/>
                <w:lang w:eastAsia="zh-CN"/>
              </w:rPr>
              <w:t>区</w:t>
            </w:r>
            <w:r>
              <w:rPr>
                <w:rFonts w:hint="eastAsia" w:ascii="方正仿宋简体" w:hAnsi="方正仿宋简体" w:eastAsia="方正仿宋简体" w:cs="方正仿宋简体"/>
                <w:b/>
                <w:bCs/>
                <w:spacing w:val="2"/>
                <w:sz w:val="24"/>
                <w:szCs w:val="24"/>
              </w:rPr>
              <w:t>自然资源和规划</w:t>
            </w:r>
            <w:r>
              <w:rPr>
                <w:rFonts w:hint="eastAsia" w:ascii="方正仿宋简体" w:hAnsi="方正仿宋简体" w:eastAsia="方正仿宋简体" w:cs="方正仿宋简体"/>
                <w:b/>
                <w:bCs/>
                <w:spacing w:val="2"/>
                <w:sz w:val="24"/>
                <w:szCs w:val="24"/>
                <w:lang w:eastAsia="zh-CN"/>
              </w:rPr>
              <w:t>分</w:t>
            </w:r>
            <w:r>
              <w:rPr>
                <w:rFonts w:hint="eastAsia" w:ascii="方正仿宋简体" w:hAnsi="方正仿宋简体" w:eastAsia="方正仿宋简体" w:cs="方正仿宋简体"/>
                <w:b/>
                <w:bCs/>
                <w:spacing w:val="2"/>
                <w:sz w:val="24"/>
                <w:szCs w:val="24"/>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960" w:type="dxa"/>
            <w:vMerge w:val="continue"/>
            <w:tcBorders>
              <w:top w:val="nil"/>
              <w:bottom w:val="nil"/>
            </w:tcBorders>
            <w:noWrap w:val="0"/>
            <w:textDirection w:val="tbRlV"/>
            <w:vAlign w:val="top"/>
          </w:tcPr>
          <w:p>
            <w:pPr>
              <w:keepNext w:val="0"/>
              <w:keepLines w:val="0"/>
              <w:pageBreakBefore w:val="0"/>
              <w:wordWrap/>
              <w:overflowPunct/>
              <w:topLinePunct w:val="0"/>
              <w:bidi w:val="0"/>
              <w:spacing w:line="360" w:lineRule="exact"/>
              <w:rPr>
                <w:rFonts w:hint="eastAsia" w:ascii="仿宋_GB2312" w:hAnsi="仿宋_GB2312" w:eastAsia="仿宋_GB2312" w:cs="仿宋_GB2312"/>
                <w:b/>
                <w:bCs/>
                <w:sz w:val="24"/>
                <w:szCs w:val="24"/>
              </w:rPr>
            </w:pPr>
          </w:p>
        </w:tc>
        <w:tc>
          <w:tcPr>
            <w:tcW w:w="64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8</w:t>
            </w:r>
          </w:p>
        </w:tc>
        <w:tc>
          <w:tcPr>
            <w:tcW w:w="4860"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86" w:firstLine="456"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2"/>
                <w:sz w:val="24"/>
                <w:szCs w:val="24"/>
              </w:rPr>
              <w:t>鼓励支持采取政府和社会资本合作</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PPP</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方式的项目</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发展普惠托育服务。</w:t>
            </w:r>
          </w:p>
        </w:tc>
        <w:tc>
          <w:tcPr>
            <w:tcW w:w="2760"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方正仿宋简体" w:hAnsi="方正仿宋简体" w:eastAsia="方正仿宋简体" w:cs="方正仿宋简体"/>
                <w:b/>
                <w:bCs/>
                <w:spacing w:val="2"/>
                <w:sz w:val="24"/>
                <w:szCs w:val="24"/>
                <w:lang w:eastAsia="zh-CN"/>
              </w:rPr>
            </w:pPr>
            <w:r>
              <w:rPr>
                <w:rFonts w:hint="eastAsia" w:ascii="方正仿宋简体" w:hAnsi="方正仿宋简体" w:eastAsia="方正仿宋简体" w:cs="方正仿宋简体"/>
                <w:b/>
                <w:bCs/>
                <w:spacing w:val="2"/>
                <w:sz w:val="24"/>
                <w:szCs w:val="24"/>
                <w:lang w:eastAsia="zh-CN"/>
              </w:rPr>
              <w:t>区经发局</w:t>
            </w:r>
          </w:p>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2"/>
                <w:sz w:val="24"/>
                <w:szCs w:val="24"/>
                <w:lang w:eastAsia="zh-CN"/>
              </w:rPr>
              <w:t>区卫健办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9" w:hRule="atLeast"/>
        </w:trPr>
        <w:tc>
          <w:tcPr>
            <w:tcW w:w="960" w:type="dxa"/>
            <w:vMerge w:val="continue"/>
            <w:tcBorders>
              <w:top w:val="nil"/>
              <w:bottom w:val="single" w:color="000000" w:sz="2" w:space="0"/>
            </w:tcBorders>
            <w:noWrap w:val="0"/>
            <w:textDirection w:val="tbRlV"/>
            <w:vAlign w:val="top"/>
          </w:tcPr>
          <w:p>
            <w:pPr>
              <w:keepNext w:val="0"/>
              <w:keepLines w:val="0"/>
              <w:pageBreakBefore w:val="0"/>
              <w:wordWrap/>
              <w:overflowPunct/>
              <w:topLinePunct w:val="0"/>
              <w:bidi w:val="0"/>
              <w:spacing w:line="360" w:lineRule="exact"/>
              <w:rPr>
                <w:rFonts w:hint="eastAsia" w:ascii="仿宋_GB2312" w:hAnsi="仿宋_GB2312" w:eastAsia="仿宋_GB2312" w:cs="仿宋_GB2312"/>
                <w:b/>
                <w:bCs/>
                <w:sz w:val="24"/>
                <w:szCs w:val="24"/>
              </w:rPr>
            </w:pPr>
          </w:p>
        </w:tc>
        <w:tc>
          <w:tcPr>
            <w:tcW w:w="64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9</w:t>
            </w:r>
          </w:p>
        </w:tc>
        <w:tc>
          <w:tcPr>
            <w:tcW w:w="4860"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103" w:firstLine="456"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2"/>
                <w:sz w:val="24"/>
                <w:szCs w:val="24"/>
              </w:rPr>
              <w:t>人员密集地区的国有营业场地优先用于托育机构建设</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采取前3年免租金</w:t>
            </w:r>
            <w:r>
              <w:rPr>
                <w:rFonts w:hint="eastAsia" w:ascii="方正仿宋简体" w:hAnsi="方正仿宋简体" w:eastAsia="方正仿宋简体" w:cs="方正仿宋简体"/>
                <w:b/>
                <w:bCs/>
                <w:spacing w:val="2"/>
                <w:sz w:val="24"/>
                <w:szCs w:val="24"/>
                <w:lang w:eastAsia="zh-CN"/>
              </w:rPr>
              <w:t>，</w:t>
            </w:r>
            <w:r>
              <w:rPr>
                <w:rFonts w:hint="eastAsia" w:ascii="方正仿宋简体" w:hAnsi="方正仿宋简体" w:eastAsia="方正仿宋简体" w:cs="方正仿宋简体"/>
                <w:b/>
                <w:bCs/>
                <w:spacing w:val="2"/>
                <w:sz w:val="24"/>
                <w:szCs w:val="24"/>
              </w:rPr>
              <w:t>3年后以较低的租赁价格提供给托育服务机构。营业场地的租赁期限一般约定在3年及以上。做好托育机构设施建设和物业、场地保障等工作。</w:t>
            </w:r>
          </w:p>
        </w:tc>
        <w:tc>
          <w:tcPr>
            <w:tcW w:w="2760"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方正仿宋简体" w:hAnsi="方正仿宋简体" w:eastAsia="方正仿宋简体" w:cs="方正仿宋简体"/>
                <w:b/>
                <w:bCs/>
                <w:spacing w:val="2"/>
                <w:sz w:val="24"/>
                <w:szCs w:val="24"/>
                <w:lang w:eastAsia="zh-CN"/>
              </w:rPr>
            </w:pPr>
            <w:r>
              <w:rPr>
                <w:rFonts w:hint="eastAsia" w:ascii="方正仿宋简体" w:hAnsi="方正仿宋简体" w:eastAsia="方正仿宋简体" w:cs="方正仿宋简体"/>
                <w:b/>
                <w:bCs/>
                <w:spacing w:val="2"/>
                <w:sz w:val="24"/>
                <w:szCs w:val="24"/>
                <w:lang w:eastAsia="zh-CN"/>
              </w:rPr>
              <w:t>区财政分局</w:t>
            </w:r>
          </w:p>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方正仿宋简体" w:hAnsi="方正仿宋简体" w:eastAsia="方正仿宋简体" w:cs="方正仿宋简体"/>
                <w:b/>
                <w:bCs/>
                <w:spacing w:val="2"/>
                <w:sz w:val="24"/>
                <w:szCs w:val="24"/>
                <w:lang w:eastAsia="zh-CN"/>
              </w:rPr>
            </w:pPr>
            <w:r>
              <w:rPr>
                <w:rFonts w:hint="eastAsia" w:ascii="方正仿宋简体" w:hAnsi="方正仿宋简体" w:eastAsia="方正仿宋简体" w:cs="方正仿宋简体"/>
                <w:b/>
                <w:bCs/>
                <w:spacing w:val="2"/>
                <w:sz w:val="24"/>
                <w:szCs w:val="24"/>
                <w:lang w:eastAsia="zh-CN"/>
              </w:rPr>
              <w:t>区党政办公室</w:t>
            </w:r>
          </w:p>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方正仿宋简体" w:hAnsi="方正仿宋简体" w:eastAsia="方正仿宋简体" w:cs="方正仿宋简体"/>
                <w:b/>
                <w:bCs/>
                <w:spacing w:val="2"/>
                <w:sz w:val="24"/>
                <w:szCs w:val="24"/>
              </w:rPr>
            </w:pPr>
          </w:p>
        </w:tc>
      </w:tr>
    </w:tbl>
    <w:p>
      <w:pPr>
        <w:keepNext w:val="0"/>
        <w:keepLines w:val="0"/>
        <w:pageBreakBefore w:val="0"/>
        <w:wordWrap/>
        <w:overflowPunct/>
        <w:topLinePunct w:val="0"/>
        <w:bidi w:val="0"/>
        <w:spacing w:line="360" w:lineRule="exact"/>
        <w:rPr>
          <w:rFonts w:hint="eastAsia" w:ascii="仿宋_GB2312" w:hAnsi="仿宋_GB2312" w:eastAsia="仿宋_GB2312" w:cs="仿宋_GB2312"/>
          <w:sz w:val="24"/>
          <w:szCs w:val="24"/>
        </w:rPr>
      </w:pPr>
    </w:p>
    <w:p>
      <w:pPr>
        <w:keepNext w:val="0"/>
        <w:keepLines w:val="0"/>
        <w:pageBreakBefore w:val="0"/>
        <w:wordWrap/>
        <w:overflowPunct/>
        <w:topLinePunct w:val="0"/>
        <w:bidi w:val="0"/>
        <w:spacing w:line="360" w:lineRule="exact"/>
        <w:rPr>
          <w:rFonts w:hint="eastAsia" w:ascii="仿宋_GB2312" w:hAnsi="仿宋_GB2312" w:eastAsia="仿宋_GB2312" w:cs="仿宋_GB2312"/>
        </w:rPr>
      </w:pPr>
    </w:p>
    <w:tbl>
      <w:tblPr>
        <w:tblStyle w:val="8"/>
        <w:tblW w:w="8895" w:type="dxa"/>
        <w:tblInd w:w="-2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705"/>
        <w:gridCol w:w="4755"/>
        <w:gridCol w:w="2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00" w:type="dxa"/>
            <w:tcBorders>
              <w:top w:val="single" w:color="000000" w:sz="2" w:space="0"/>
              <w:bottom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bCs/>
                <w:spacing w:val="-3"/>
                <w:sz w:val="28"/>
                <w:szCs w:val="28"/>
              </w:rPr>
            </w:pPr>
            <w:r>
              <w:rPr>
                <w:rFonts w:hint="eastAsia" w:ascii="方正黑体简体" w:hAnsi="方正黑体简体" w:eastAsia="方正黑体简体" w:cs="方正黑体简体"/>
                <w:b/>
                <w:bCs/>
                <w:spacing w:val="-3"/>
                <w:sz w:val="28"/>
                <w:szCs w:val="28"/>
              </w:rPr>
              <w:t>政策</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rPr>
            </w:pPr>
            <w:r>
              <w:rPr>
                <w:rFonts w:hint="eastAsia" w:ascii="方正黑体简体" w:hAnsi="方正黑体简体" w:eastAsia="方正黑体简体" w:cs="方正黑体简体"/>
                <w:b/>
                <w:bCs/>
                <w:spacing w:val="-3"/>
                <w:sz w:val="28"/>
                <w:szCs w:val="28"/>
              </w:rPr>
              <w:t>名称</w:t>
            </w:r>
          </w:p>
        </w:tc>
        <w:tc>
          <w:tcPr>
            <w:tcW w:w="705" w:type="dxa"/>
            <w:tcBorders>
              <w:top w:val="single" w:color="000000" w:sz="2" w:space="0"/>
              <w:bottom w:val="single" w:color="000000" w:sz="2" w:space="0"/>
            </w:tcBorders>
            <w:noWrap w:val="0"/>
            <w:vAlign w:val="top"/>
          </w:tcPr>
          <w:p>
            <w:pPr>
              <w:keepNext w:val="0"/>
              <w:keepLines w:val="0"/>
              <w:pageBreakBefore w:val="0"/>
              <w:wordWrap/>
              <w:overflowPunct/>
              <w:topLinePunct w:val="0"/>
              <w:bidi w:val="0"/>
              <w:spacing w:line="360" w:lineRule="exact"/>
              <w:jc w:val="center"/>
              <w:rPr>
                <w:rFonts w:hint="eastAsia" w:ascii="仿宋_GB2312" w:hAnsi="仿宋_GB2312" w:eastAsia="仿宋_GB2312" w:cs="仿宋_GB2312"/>
                <w:b/>
                <w:bCs/>
                <w:sz w:val="24"/>
                <w:szCs w:val="24"/>
              </w:rPr>
            </w:pPr>
            <w:r>
              <w:rPr>
                <w:rFonts w:hint="eastAsia" w:ascii="方正黑体简体" w:hAnsi="方正黑体简体" w:eastAsia="方正黑体简体" w:cs="方正黑体简体"/>
                <w:b/>
                <w:bCs/>
                <w:color w:val="001935"/>
                <w:spacing w:val="5"/>
                <w:sz w:val="28"/>
                <w:szCs w:val="28"/>
              </w:rPr>
              <w:t>序号</w:t>
            </w:r>
          </w:p>
        </w:tc>
        <w:tc>
          <w:tcPr>
            <w:tcW w:w="4755" w:type="dxa"/>
            <w:tcBorders>
              <w:top w:val="single" w:color="000000" w:sz="2" w:space="0"/>
              <w:bottom w:val="single" w:color="000000" w:sz="2" w:space="0"/>
            </w:tcBorders>
            <w:noWrap w:val="0"/>
            <w:vAlign w:val="top"/>
          </w:tcPr>
          <w:p>
            <w:pPr>
              <w:keepNext w:val="0"/>
              <w:keepLines w:val="0"/>
              <w:pageBreakBefore w:val="0"/>
              <w:wordWrap/>
              <w:overflowPunct/>
              <w:topLinePunct w:val="0"/>
              <w:bidi w:val="0"/>
              <w:spacing w:line="360" w:lineRule="exact"/>
              <w:ind w:firstLine="1681"/>
              <w:rPr>
                <w:rFonts w:hint="eastAsia" w:ascii="仿宋_GB2312" w:hAnsi="仿宋_GB2312" w:eastAsia="仿宋_GB2312" w:cs="仿宋_GB2312"/>
                <w:b/>
                <w:bCs/>
                <w:sz w:val="24"/>
                <w:szCs w:val="24"/>
              </w:rPr>
            </w:pPr>
            <w:r>
              <w:rPr>
                <w:rFonts w:hint="eastAsia" w:ascii="方正黑体简体" w:hAnsi="方正黑体简体" w:eastAsia="方正黑体简体" w:cs="方正黑体简体"/>
                <w:b/>
                <w:bCs/>
                <w:color w:val="001935"/>
                <w:spacing w:val="5"/>
                <w:sz w:val="28"/>
                <w:szCs w:val="28"/>
              </w:rPr>
              <w:t>支持政策内容</w:t>
            </w:r>
          </w:p>
        </w:tc>
        <w:tc>
          <w:tcPr>
            <w:tcW w:w="2535" w:type="dxa"/>
            <w:tcBorders>
              <w:top w:val="single" w:color="000000" w:sz="2" w:space="0"/>
              <w:bottom w:val="single" w:color="000000" w:sz="2" w:space="0"/>
            </w:tcBorders>
            <w:noWrap w:val="0"/>
            <w:vAlign w:val="top"/>
          </w:tcPr>
          <w:p>
            <w:pPr>
              <w:keepNext w:val="0"/>
              <w:keepLines w:val="0"/>
              <w:pageBreakBefore w:val="0"/>
              <w:wordWrap/>
              <w:overflowPunct/>
              <w:topLinePunct w:val="0"/>
              <w:bidi w:val="0"/>
              <w:spacing w:line="360" w:lineRule="exact"/>
              <w:ind w:firstLine="747"/>
              <w:rPr>
                <w:rFonts w:hint="eastAsia" w:ascii="仿宋_GB2312" w:hAnsi="仿宋_GB2312" w:eastAsia="仿宋_GB2312" w:cs="仿宋_GB2312"/>
                <w:b/>
                <w:bCs/>
                <w:sz w:val="24"/>
                <w:szCs w:val="24"/>
              </w:rPr>
            </w:pPr>
            <w:r>
              <w:rPr>
                <w:rFonts w:hint="eastAsia" w:ascii="方正黑体简体" w:hAnsi="方正黑体简体" w:eastAsia="方正黑体简体" w:cs="方正黑体简体"/>
                <w:b/>
                <w:bCs/>
                <w:color w:val="001935"/>
                <w:spacing w:val="5"/>
                <w:sz w:val="28"/>
                <w:szCs w:val="28"/>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900" w:type="dxa"/>
            <w:vMerge w:val="restart"/>
            <w:tcBorders>
              <w:top w:val="single" w:color="000000" w:sz="2" w:space="0"/>
              <w:bottom w:val="nil"/>
            </w:tcBorders>
            <w:noWrap w:val="0"/>
            <w:textDirection w:val="tbRlV"/>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9"/>
                <w:sz w:val="24"/>
                <w:szCs w:val="24"/>
              </w:rPr>
              <w:t>报批建设政策</w:t>
            </w:r>
          </w:p>
        </w:tc>
        <w:tc>
          <w:tcPr>
            <w:tcW w:w="70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7"/>
                <w:sz w:val="24"/>
                <w:szCs w:val="24"/>
              </w:rPr>
              <w:t>10</w:t>
            </w:r>
          </w:p>
        </w:tc>
        <w:tc>
          <w:tcPr>
            <w:tcW w:w="475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92" w:firstLine="464"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4"/>
                <w:sz w:val="24"/>
                <w:szCs w:val="24"/>
              </w:rPr>
              <w:t>依法简化社区托育服务登记备案程序</w:t>
            </w:r>
            <w:r>
              <w:rPr>
                <w:rFonts w:hint="eastAsia" w:ascii="方正仿宋简体" w:hAnsi="方正仿宋简体" w:eastAsia="方正仿宋简体" w:cs="方正仿宋简体"/>
                <w:b/>
                <w:bCs/>
                <w:spacing w:val="4"/>
                <w:sz w:val="24"/>
                <w:szCs w:val="24"/>
                <w:lang w:eastAsia="zh-CN"/>
              </w:rPr>
              <w:t>，</w:t>
            </w:r>
            <w:r>
              <w:rPr>
                <w:rFonts w:hint="eastAsia" w:ascii="方正仿宋简体" w:hAnsi="方正仿宋简体" w:eastAsia="方正仿宋简体" w:cs="方正仿宋简体"/>
                <w:b/>
                <w:bCs/>
                <w:spacing w:val="16"/>
                <w:sz w:val="24"/>
                <w:szCs w:val="24"/>
              </w:rPr>
              <w:t>建立多部门开办手续一站式办理的绿色通</w:t>
            </w:r>
            <w:r>
              <w:rPr>
                <w:rFonts w:hint="eastAsia" w:ascii="方正仿宋简体" w:hAnsi="方正仿宋简体" w:eastAsia="方正仿宋简体" w:cs="方正仿宋简体"/>
                <w:b/>
                <w:bCs/>
                <w:spacing w:val="6"/>
                <w:sz w:val="24"/>
                <w:szCs w:val="24"/>
              </w:rPr>
              <w:t>道</w:t>
            </w:r>
            <w:r>
              <w:rPr>
                <w:rFonts w:hint="eastAsia" w:ascii="方正仿宋简体" w:hAnsi="方正仿宋简体" w:eastAsia="方正仿宋简体" w:cs="方正仿宋简体"/>
                <w:b/>
                <w:bCs/>
                <w:spacing w:val="6"/>
                <w:sz w:val="24"/>
                <w:szCs w:val="24"/>
                <w:lang w:eastAsia="zh-CN"/>
              </w:rPr>
              <w:t>，</w:t>
            </w:r>
            <w:r>
              <w:rPr>
                <w:rFonts w:hint="eastAsia" w:ascii="方正仿宋简体" w:hAnsi="方正仿宋简体" w:eastAsia="方正仿宋简体" w:cs="方正仿宋简体"/>
                <w:b/>
                <w:bCs/>
                <w:spacing w:val="6"/>
                <w:sz w:val="24"/>
                <w:szCs w:val="24"/>
              </w:rPr>
              <w:t>切实缩短企业办证时间。</w:t>
            </w:r>
          </w:p>
        </w:tc>
        <w:tc>
          <w:tcPr>
            <w:tcW w:w="253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125"/>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区卫健办</w:t>
            </w:r>
          </w:p>
          <w:p>
            <w:pPr>
              <w:keepNext w:val="0"/>
              <w:keepLines w:val="0"/>
              <w:pageBreakBefore w:val="0"/>
              <w:widowControl w:val="0"/>
              <w:kinsoku/>
              <w:wordWrap/>
              <w:overflowPunct/>
              <w:topLinePunct w:val="0"/>
              <w:autoSpaceDE/>
              <w:autoSpaceDN/>
              <w:bidi w:val="0"/>
              <w:adjustRightInd/>
              <w:snapToGrid/>
              <w:spacing w:line="360" w:lineRule="exact"/>
              <w:ind w:firstLine="125"/>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1"/>
                <w:sz w:val="24"/>
                <w:szCs w:val="24"/>
                <w:lang w:eastAsia="zh-CN"/>
              </w:rPr>
              <w:t>区</w:t>
            </w:r>
            <w:r>
              <w:rPr>
                <w:rFonts w:hint="eastAsia" w:ascii="方正仿宋简体" w:hAnsi="方正仿宋简体" w:eastAsia="方正仿宋简体" w:cs="方正仿宋简体"/>
                <w:b/>
                <w:bCs/>
                <w:spacing w:val="1"/>
                <w:sz w:val="24"/>
                <w:szCs w:val="24"/>
              </w:rPr>
              <w:t>行政审批服务局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4" w:hRule="atLeast"/>
        </w:trPr>
        <w:tc>
          <w:tcPr>
            <w:tcW w:w="900" w:type="dxa"/>
            <w:vMerge w:val="continue"/>
            <w:tcBorders>
              <w:top w:val="nil"/>
              <w:bottom w:val="nil"/>
            </w:tcBorders>
            <w:noWrap w:val="0"/>
            <w:textDirection w:val="tbRlV"/>
            <w:vAlign w:val="top"/>
          </w:tcPr>
          <w:p>
            <w:pPr>
              <w:keepNext w:val="0"/>
              <w:keepLines w:val="0"/>
              <w:pageBreakBefore w:val="0"/>
              <w:wordWrap/>
              <w:overflowPunct/>
              <w:topLinePunct w:val="0"/>
              <w:bidi w:val="0"/>
              <w:spacing w:line="360" w:lineRule="exact"/>
              <w:rPr>
                <w:rFonts w:hint="eastAsia" w:ascii="方正仿宋简体" w:hAnsi="方正仿宋简体" w:eastAsia="方正仿宋简体" w:cs="方正仿宋简体"/>
                <w:b/>
                <w:bCs/>
                <w:sz w:val="24"/>
                <w:szCs w:val="24"/>
              </w:rPr>
            </w:pPr>
          </w:p>
        </w:tc>
        <w:tc>
          <w:tcPr>
            <w:tcW w:w="70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7"/>
                <w:sz w:val="24"/>
                <w:szCs w:val="24"/>
              </w:rPr>
              <w:t>11</w:t>
            </w:r>
          </w:p>
        </w:tc>
        <w:tc>
          <w:tcPr>
            <w:tcW w:w="475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90" w:firstLine="448"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城镇居住区配套托育设施由当地人民政府投资建设或者由开发建设单位按照约定代为建设</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新建的城镇居住区配套托育设施</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房地产开发项目建设条件意见书确定托育设施权属归所在地人民政府的</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建设单位应当按照约定的移交方式</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自竣工验收合格之日起三个月内将场地、附属配套设施以及相关资料等全部无偿移交所在地人民政府卫生健康部门。</w:t>
            </w:r>
          </w:p>
        </w:tc>
        <w:tc>
          <w:tcPr>
            <w:tcW w:w="253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区卫健办</w:t>
            </w:r>
          </w:p>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方正仿宋简体" w:hAnsi="方正仿宋简体" w:eastAsia="方正仿宋简体" w:cs="方正仿宋简体"/>
                <w:b/>
                <w:bCs/>
                <w:spacing w:val="3"/>
                <w:sz w:val="24"/>
                <w:szCs w:val="24"/>
              </w:rPr>
            </w:pPr>
            <w:r>
              <w:rPr>
                <w:rFonts w:hint="eastAsia" w:ascii="方正仿宋简体" w:hAnsi="方正仿宋简体" w:eastAsia="方正仿宋简体" w:cs="方正仿宋简体"/>
                <w:b/>
                <w:bCs/>
                <w:spacing w:val="1"/>
                <w:sz w:val="24"/>
                <w:szCs w:val="24"/>
                <w:lang w:eastAsia="zh-CN"/>
              </w:rPr>
              <w:t>区</w:t>
            </w:r>
            <w:r>
              <w:rPr>
                <w:rFonts w:hint="eastAsia" w:ascii="方正仿宋简体" w:hAnsi="方正仿宋简体" w:eastAsia="方正仿宋简体" w:cs="方正仿宋简体"/>
                <w:b/>
                <w:bCs/>
                <w:spacing w:val="1"/>
                <w:sz w:val="24"/>
                <w:szCs w:val="24"/>
              </w:rPr>
              <w:t>建设局</w:t>
            </w:r>
          </w:p>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3"/>
                <w:sz w:val="24"/>
                <w:szCs w:val="24"/>
                <w:lang w:eastAsia="zh-CN"/>
              </w:rPr>
              <w:t>区</w:t>
            </w:r>
            <w:r>
              <w:rPr>
                <w:rFonts w:hint="eastAsia" w:ascii="方正仿宋简体" w:hAnsi="方正仿宋简体" w:eastAsia="方正仿宋简体" w:cs="方正仿宋简体"/>
                <w:b/>
                <w:bCs/>
                <w:spacing w:val="2"/>
                <w:sz w:val="24"/>
                <w:szCs w:val="24"/>
              </w:rPr>
              <w:t>行政审批服务局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4" w:hRule="atLeast"/>
        </w:trPr>
        <w:tc>
          <w:tcPr>
            <w:tcW w:w="900" w:type="dxa"/>
            <w:vMerge w:val="continue"/>
            <w:tcBorders>
              <w:top w:val="nil"/>
              <w:bottom w:val="nil"/>
            </w:tcBorders>
            <w:noWrap w:val="0"/>
            <w:textDirection w:val="tbRlV"/>
            <w:vAlign w:val="top"/>
          </w:tcPr>
          <w:p>
            <w:pPr>
              <w:keepNext w:val="0"/>
              <w:keepLines w:val="0"/>
              <w:pageBreakBefore w:val="0"/>
              <w:wordWrap/>
              <w:overflowPunct/>
              <w:topLinePunct w:val="0"/>
              <w:bidi w:val="0"/>
              <w:spacing w:line="360" w:lineRule="exact"/>
              <w:rPr>
                <w:rFonts w:hint="eastAsia" w:ascii="方正仿宋简体" w:hAnsi="方正仿宋简体" w:eastAsia="方正仿宋简体" w:cs="方正仿宋简体"/>
                <w:b/>
                <w:bCs/>
                <w:sz w:val="24"/>
                <w:szCs w:val="24"/>
              </w:rPr>
            </w:pPr>
          </w:p>
        </w:tc>
        <w:tc>
          <w:tcPr>
            <w:tcW w:w="70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7"/>
                <w:sz w:val="24"/>
                <w:szCs w:val="24"/>
              </w:rPr>
              <w:t>12</w:t>
            </w:r>
          </w:p>
        </w:tc>
        <w:tc>
          <w:tcPr>
            <w:tcW w:w="475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92" w:firstLine="448" w:firstLineChars="200"/>
              <w:jc w:val="both"/>
              <w:rPr>
                <w:rFonts w:hint="eastAsia" w:ascii="方正仿宋简体" w:hAnsi="方正仿宋简体" w:eastAsia="方正仿宋简体" w:cs="方正仿宋简体"/>
                <w:b/>
                <w:bCs/>
                <w:sz w:val="24"/>
                <w:szCs w:val="24"/>
                <w:lang w:eastAsia="zh-CN"/>
              </w:rPr>
            </w:pPr>
            <w:r>
              <w:rPr>
                <w:rFonts w:hint="eastAsia" w:ascii="方正仿宋简体" w:hAnsi="方正仿宋简体" w:eastAsia="方正仿宋简体" w:cs="方正仿宋简体"/>
                <w:b/>
                <w:bCs/>
                <w:sz w:val="24"/>
                <w:szCs w:val="24"/>
              </w:rPr>
              <w:t>对申报消防设计审核、消防验收和消防备案的托育机构</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主动提供消防技术咨询服务</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明确办理时限和流程</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限期办理。建筑面积在500平方米以下</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含500平方米</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或者投资100万元以下</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含100万元</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的托育机构、设施可以不申请办理施工许可证</w:t>
            </w:r>
            <w:r>
              <w:rPr>
                <w:rFonts w:hint="eastAsia" w:ascii="方正仿宋简体" w:hAnsi="方正仿宋简体" w:eastAsia="方正仿宋简体" w:cs="方正仿宋简体"/>
                <w:b/>
                <w:bCs/>
                <w:sz w:val="24"/>
                <w:szCs w:val="24"/>
                <w:lang w:eastAsia="zh-CN"/>
              </w:rPr>
              <w:t>。</w:t>
            </w:r>
          </w:p>
        </w:tc>
        <w:tc>
          <w:tcPr>
            <w:tcW w:w="253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127"/>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区卫健办</w:t>
            </w:r>
          </w:p>
          <w:p>
            <w:pPr>
              <w:keepNext w:val="0"/>
              <w:keepLines w:val="0"/>
              <w:pageBreakBefore w:val="0"/>
              <w:widowControl w:val="0"/>
              <w:kinsoku/>
              <w:wordWrap/>
              <w:overflowPunct/>
              <w:topLinePunct w:val="0"/>
              <w:autoSpaceDE/>
              <w:autoSpaceDN/>
              <w:bidi w:val="0"/>
              <w:adjustRightInd/>
              <w:snapToGrid/>
              <w:spacing w:line="360" w:lineRule="exact"/>
              <w:ind w:firstLine="127"/>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2"/>
                <w:sz w:val="24"/>
                <w:szCs w:val="24"/>
                <w:lang w:eastAsia="zh-CN"/>
              </w:rPr>
              <w:t>区</w:t>
            </w:r>
            <w:r>
              <w:rPr>
                <w:rFonts w:hint="eastAsia" w:ascii="方正仿宋简体" w:hAnsi="方正仿宋简体" w:eastAsia="方正仿宋简体" w:cs="方正仿宋简体"/>
                <w:b/>
                <w:bCs/>
                <w:spacing w:val="2"/>
                <w:sz w:val="24"/>
                <w:szCs w:val="24"/>
              </w:rPr>
              <w:t>行政审批服务局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9" w:hRule="atLeast"/>
        </w:trPr>
        <w:tc>
          <w:tcPr>
            <w:tcW w:w="900" w:type="dxa"/>
            <w:vMerge w:val="continue"/>
            <w:tcBorders>
              <w:top w:val="nil"/>
              <w:bottom w:val="nil"/>
            </w:tcBorders>
            <w:noWrap w:val="0"/>
            <w:textDirection w:val="tbRlV"/>
            <w:vAlign w:val="top"/>
          </w:tcPr>
          <w:p>
            <w:pPr>
              <w:keepNext w:val="0"/>
              <w:keepLines w:val="0"/>
              <w:pageBreakBefore w:val="0"/>
              <w:wordWrap/>
              <w:overflowPunct/>
              <w:topLinePunct w:val="0"/>
              <w:bidi w:val="0"/>
              <w:spacing w:line="360" w:lineRule="exact"/>
              <w:rPr>
                <w:rFonts w:hint="eastAsia" w:ascii="方正仿宋简体" w:hAnsi="方正仿宋简体" w:eastAsia="方正仿宋简体" w:cs="方正仿宋简体"/>
                <w:b/>
                <w:bCs/>
                <w:sz w:val="24"/>
                <w:szCs w:val="24"/>
              </w:rPr>
            </w:pPr>
          </w:p>
        </w:tc>
        <w:tc>
          <w:tcPr>
            <w:tcW w:w="70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7"/>
                <w:sz w:val="24"/>
                <w:szCs w:val="24"/>
              </w:rPr>
              <w:t>13</w:t>
            </w:r>
          </w:p>
        </w:tc>
        <w:tc>
          <w:tcPr>
            <w:tcW w:w="475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81" w:firstLine="488"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10"/>
                <w:sz w:val="24"/>
                <w:szCs w:val="24"/>
              </w:rPr>
              <w:t>对于利用老旧建筑改造为托育设施</w:t>
            </w:r>
            <w:r>
              <w:rPr>
                <w:rFonts w:hint="eastAsia" w:ascii="方正仿宋简体" w:hAnsi="方正仿宋简体" w:eastAsia="方正仿宋简体" w:cs="方正仿宋简体"/>
                <w:b/>
                <w:bCs/>
                <w:spacing w:val="10"/>
                <w:sz w:val="24"/>
                <w:szCs w:val="24"/>
                <w:lang w:eastAsia="zh-CN"/>
              </w:rPr>
              <w:t>，</w:t>
            </w:r>
            <w:r>
              <w:rPr>
                <w:rFonts w:hint="eastAsia" w:ascii="方正仿宋简体" w:hAnsi="方正仿宋简体" w:eastAsia="方正仿宋简体" w:cs="方正仿宋简体"/>
                <w:b/>
                <w:bCs/>
                <w:spacing w:val="10"/>
                <w:sz w:val="24"/>
                <w:szCs w:val="24"/>
              </w:rPr>
              <w:t>采</w:t>
            </w:r>
            <w:r>
              <w:rPr>
                <w:rFonts w:hint="eastAsia" w:ascii="方正仿宋简体" w:hAnsi="方正仿宋简体" w:eastAsia="方正仿宋简体" w:cs="方正仿宋简体"/>
                <w:b/>
                <w:bCs/>
                <w:spacing w:val="13"/>
                <w:w w:val="102"/>
                <w:sz w:val="24"/>
                <w:szCs w:val="24"/>
              </w:rPr>
              <w:t>取</w:t>
            </w:r>
            <w:r>
              <w:rPr>
                <w:rFonts w:hint="eastAsia" w:ascii="方正仿宋简体" w:hAnsi="方正仿宋简体" w:eastAsia="方正仿宋简体" w:cs="方正仿宋简体"/>
                <w:b/>
                <w:bCs/>
                <w:spacing w:val="13"/>
                <w:w w:val="102"/>
                <w:sz w:val="24"/>
                <w:szCs w:val="24"/>
                <w:lang w:eastAsia="zh-CN"/>
              </w:rPr>
              <w:t>“</w:t>
            </w:r>
            <w:r>
              <w:rPr>
                <w:rFonts w:hint="eastAsia" w:ascii="方正仿宋简体" w:hAnsi="方正仿宋简体" w:eastAsia="方正仿宋简体" w:cs="方正仿宋简体"/>
                <w:b/>
                <w:bCs/>
                <w:spacing w:val="13"/>
                <w:w w:val="102"/>
                <w:sz w:val="24"/>
                <w:szCs w:val="24"/>
              </w:rPr>
              <w:t>一事一议</w:t>
            </w:r>
            <w:r>
              <w:rPr>
                <w:rFonts w:hint="eastAsia" w:ascii="方正仿宋简体" w:hAnsi="方正仿宋简体" w:eastAsia="方正仿宋简体" w:cs="方正仿宋简体"/>
                <w:b/>
                <w:bCs/>
                <w:spacing w:val="13"/>
                <w:w w:val="102"/>
                <w:sz w:val="24"/>
                <w:szCs w:val="24"/>
                <w:lang w:eastAsia="zh-CN"/>
              </w:rPr>
              <w:t>”</w:t>
            </w:r>
            <w:r>
              <w:rPr>
                <w:rFonts w:hint="eastAsia" w:ascii="方正仿宋简体" w:hAnsi="方正仿宋简体" w:eastAsia="方正仿宋简体" w:cs="方正仿宋简体"/>
                <w:b/>
                <w:bCs/>
                <w:spacing w:val="13"/>
                <w:w w:val="102"/>
                <w:sz w:val="24"/>
                <w:szCs w:val="24"/>
              </w:rPr>
              <w:t>的方式</w:t>
            </w:r>
            <w:r>
              <w:rPr>
                <w:rFonts w:hint="eastAsia" w:ascii="方正仿宋简体" w:hAnsi="方正仿宋简体" w:eastAsia="方正仿宋简体" w:cs="方正仿宋简体"/>
                <w:b/>
                <w:bCs/>
                <w:spacing w:val="13"/>
                <w:w w:val="102"/>
                <w:sz w:val="24"/>
                <w:szCs w:val="24"/>
                <w:lang w:eastAsia="zh-CN"/>
              </w:rPr>
              <w:t>，</w:t>
            </w:r>
            <w:r>
              <w:rPr>
                <w:rFonts w:hint="eastAsia" w:ascii="方正仿宋简体" w:hAnsi="方正仿宋简体" w:eastAsia="方正仿宋简体" w:cs="方正仿宋简体"/>
                <w:b/>
                <w:bCs/>
                <w:spacing w:val="13"/>
                <w:w w:val="102"/>
                <w:sz w:val="24"/>
                <w:szCs w:val="24"/>
              </w:rPr>
              <w:t>加快办理各项审批</w:t>
            </w:r>
            <w:r>
              <w:rPr>
                <w:rFonts w:hint="eastAsia" w:ascii="方正仿宋简体" w:hAnsi="方正仿宋简体" w:eastAsia="方正仿宋简体" w:cs="方正仿宋简体"/>
                <w:b/>
                <w:bCs/>
                <w:spacing w:val="-8"/>
                <w:sz w:val="24"/>
                <w:szCs w:val="24"/>
              </w:rPr>
              <w:t>手续。</w:t>
            </w:r>
          </w:p>
        </w:tc>
        <w:tc>
          <w:tcPr>
            <w:tcW w:w="253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方正仿宋简体" w:hAnsi="方正仿宋简体" w:eastAsia="方正仿宋简体" w:cs="方正仿宋简体"/>
                <w:b/>
                <w:bCs/>
                <w:spacing w:val="1"/>
                <w:sz w:val="24"/>
                <w:szCs w:val="24"/>
              </w:rPr>
            </w:pPr>
            <w:r>
              <w:rPr>
                <w:rFonts w:hint="eastAsia" w:ascii="方正仿宋简体" w:hAnsi="方正仿宋简体" w:eastAsia="方正仿宋简体" w:cs="方正仿宋简体"/>
                <w:b/>
                <w:bCs/>
                <w:spacing w:val="1"/>
                <w:sz w:val="24"/>
                <w:szCs w:val="24"/>
                <w:lang w:eastAsia="zh-CN"/>
              </w:rPr>
              <w:t>区</w:t>
            </w:r>
            <w:r>
              <w:rPr>
                <w:rFonts w:hint="eastAsia" w:ascii="方正仿宋简体" w:hAnsi="方正仿宋简体" w:eastAsia="方正仿宋简体" w:cs="方正仿宋简体"/>
                <w:b/>
                <w:bCs/>
                <w:spacing w:val="1"/>
                <w:sz w:val="24"/>
                <w:szCs w:val="24"/>
              </w:rPr>
              <w:t>行政审批服务局</w:t>
            </w:r>
          </w:p>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3"/>
                <w:sz w:val="24"/>
                <w:szCs w:val="24"/>
                <w:lang w:eastAsia="zh-CN"/>
              </w:rPr>
              <w:t>区</w:t>
            </w:r>
            <w:r>
              <w:rPr>
                <w:rFonts w:hint="eastAsia" w:ascii="方正仿宋简体" w:hAnsi="方正仿宋简体" w:eastAsia="方正仿宋简体" w:cs="方正仿宋简体"/>
                <w:b/>
                <w:bCs/>
                <w:spacing w:val="1"/>
                <w:sz w:val="24"/>
                <w:szCs w:val="24"/>
              </w:rPr>
              <w:t>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00" w:type="dxa"/>
            <w:vMerge w:val="continue"/>
            <w:tcBorders>
              <w:top w:val="nil"/>
              <w:bottom w:val="single" w:color="000000" w:sz="2" w:space="0"/>
            </w:tcBorders>
            <w:noWrap w:val="0"/>
            <w:textDirection w:val="tbRlV"/>
            <w:vAlign w:val="top"/>
          </w:tcPr>
          <w:p>
            <w:pPr>
              <w:keepNext w:val="0"/>
              <w:keepLines w:val="0"/>
              <w:pageBreakBefore w:val="0"/>
              <w:wordWrap/>
              <w:overflowPunct/>
              <w:topLinePunct w:val="0"/>
              <w:bidi w:val="0"/>
              <w:spacing w:line="360" w:lineRule="exact"/>
              <w:rPr>
                <w:rFonts w:hint="eastAsia" w:ascii="方正仿宋简体" w:hAnsi="方正仿宋简体" w:eastAsia="方正仿宋简体" w:cs="方正仿宋简体"/>
                <w:b/>
                <w:bCs/>
                <w:sz w:val="24"/>
                <w:szCs w:val="24"/>
              </w:rPr>
            </w:pPr>
          </w:p>
        </w:tc>
        <w:tc>
          <w:tcPr>
            <w:tcW w:w="70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7"/>
                <w:sz w:val="24"/>
                <w:szCs w:val="24"/>
              </w:rPr>
              <w:t>14</w:t>
            </w:r>
          </w:p>
        </w:tc>
        <w:tc>
          <w:tcPr>
            <w:tcW w:w="475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92" w:firstLine="448"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充分利用社区资源</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公共场地</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为托育机构协调设置室外活动场地。</w:t>
            </w:r>
          </w:p>
        </w:tc>
        <w:tc>
          <w:tcPr>
            <w:tcW w:w="253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firstLine="127"/>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2"/>
                <w:sz w:val="24"/>
                <w:szCs w:val="24"/>
                <w:lang w:eastAsia="zh-CN"/>
              </w:rPr>
              <w:t>区</w:t>
            </w:r>
            <w:r>
              <w:rPr>
                <w:rFonts w:hint="eastAsia" w:ascii="方正仿宋简体" w:hAnsi="方正仿宋简体" w:eastAsia="方正仿宋简体" w:cs="方正仿宋简体"/>
                <w:b/>
                <w:bCs/>
                <w:spacing w:val="2"/>
                <w:sz w:val="24"/>
                <w:szCs w:val="24"/>
              </w:rPr>
              <w:t>建设局</w:t>
            </w:r>
          </w:p>
        </w:tc>
      </w:tr>
    </w:tbl>
    <w:p>
      <w:pPr>
        <w:keepNext w:val="0"/>
        <w:keepLines w:val="0"/>
        <w:pageBreakBefore w:val="0"/>
        <w:wordWrap/>
        <w:overflowPunct/>
        <w:topLinePunct w:val="0"/>
        <w:bidi w:val="0"/>
        <w:spacing w:line="360" w:lineRule="exact"/>
        <w:rPr>
          <w:rFonts w:hint="eastAsia" w:ascii="仿宋_GB2312" w:hAnsi="仿宋_GB2312" w:eastAsia="仿宋_GB2312" w:cs="仿宋_GB2312"/>
        </w:rPr>
      </w:pPr>
    </w:p>
    <w:p>
      <w:pPr>
        <w:keepNext w:val="0"/>
        <w:keepLines w:val="0"/>
        <w:pageBreakBefore w:val="0"/>
        <w:wordWrap/>
        <w:overflowPunct/>
        <w:topLinePunct w:val="0"/>
        <w:bidi w:val="0"/>
        <w:spacing w:line="360" w:lineRule="exact"/>
        <w:rPr>
          <w:rFonts w:hint="eastAsia" w:ascii="仿宋_GB2312" w:hAnsi="仿宋_GB2312" w:eastAsia="仿宋_GB2312" w:cs="仿宋_GB2312"/>
        </w:rPr>
      </w:pPr>
    </w:p>
    <w:tbl>
      <w:tblPr>
        <w:tblStyle w:val="8"/>
        <w:tblW w:w="8760" w:type="dxa"/>
        <w:tblInd w:w="-2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5"/>
        <w:gridCol w:w="660"/>
        <w:gridCol w:w="4725"/>
        <w:gridCol w:w="2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7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bCs/>
                <w:spacing w:val="-3"/>
                <w:sz w:val="28"/>
                <w:szCs w:val="28"/>
              </w:rPr>
            </w:pPr>
            <w:r>
              <w:rPr>
                <w:rFonts w:hint="eastAsia" w:ascii="方正黑体简体" w:hAnsi="方正黑体简体" w:eastAsia="方正黑体简体" w:cs="方正黑体简体"/>
                <w:b/>
                <w:bCs/>
                <w:spacing w:val="-3"/>
                <w:sz w:val="28"/>
                <w:szCs w:val="28"/>
              </w:rPr>
              <w:t>政策</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bCs/>
                <w:spacing w:val="-3"/>
                <w:sz w:val="28"/>
                <w:szCs w:val="28"/>
              </w:rPr>
            </w:pPr>
            <w:r>
              <w:rPr>
                <w:rFonts w:hint="eastAsia" w:ascii="方正黑体简体" w:hAnsi="方正黑体简体" w:eastAsia="方正黑体简体" w:cs="方正黑体简体"/>
                <w:b/>
                <w:bCs/>
                <w:spacing w:val="-3"/>
                <w:sz w:val="28"/>
                <w:szCs w:val="28"/>
              </w:rPr>
              <w:t>名称</w:t>
            </w:r>
          </w:p>
        </w:tc>
        <w:tc>
          <w:tcPr>
            <w:tcW w:w="660"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黑体简体" w:hAnsi="方正黑体简体" w:eastAsia="方正黑体简体" w:cs="方正黑体简体"/>
                <w:b/>
                <w:bCs/>
                <w:spacing w:val="-3"/>
                <w:sz w:val="28"/>
                <w:szCs w:val="28"/>
              </w:rPr>
            </w:pPr>
            <w:r>
              <w:rPr>
                <w:rFonts w:hint="eastAsia" w:ascii="方正黑体简体" w:hAnsi="方正黑体简体" w:eastAsia="方正黑体简体" w:cs="方正黑体简体"/>
                <w:b/>
                <w:bCs/>
                <w:spacing w:val="-3"/>
                <w:sz w:val="28"/>
                <w:szCs w:val="28"/>
              </w:rPr>
              <w:t>序号</w:t>
            </w:r>
          </w:p>
        </w:tc>
        <w:tc>
          <w:tcPr>
            <w:tcW w:w="472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黑体简体" w:hAnsi="方正黑体简体" w:eastAsia="方正黑体简体" w:cs="方正黑体简体"/>
                <w:b/>
                <w:bCs/>
                <w:spacing w:val="-3"/>
                <w:sz w:val="28"/>
                <w:szCs w:val="28"/>
              </w:rPr>
            </w:pPr>
            <w:r>
              <w:rPr>
                <w:rFonts w:hint="eastAsia" w:ascii="方正黑体简体" w:hAnsi="方正黑体简体" w:eastAsia="方正黑体简体" w:cs="方正黑体简体"/>
                <w:b/>
                <w:bCs/>
                <w:spacing w:val="-3"/>
                <w:sz w:val="28"/>
                <w:szCs w:val="28"/>
              </w:rPr>
              <w:t>支持政策内容</w:t>
            </w:r>
          </w:p>
        </w:tc>
        <w:tc>
          <w:tcPr>
            <w:tcW w:w="2400"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黑体简体" w:hAnsi="方正黑体简体" w:eastAsia="方正黑体简体" w:cs="方正黑体简体"/>
                <w:b/>
                <w:bCs/>
                <w:spacing w:val="-3"/>
                <w:sz w:val="28"/>
                <w:szCs w:val="28"/>
              </w:rPr>
            </w:pPr>
            <w:r>
              <w:rPr>
                <w:rFonts w:hint="eastAsia" w:ascii="方正黑体简体" w:hAnsi="方正黑体简体" w:eastAsia="方正黑体简体" w:cs="方正黑体简体"/>
                <w:b/>
                <w:bCs/>
                <w:spacing w:val="-3"/>
                <w:sz w:val="28"/>
                <w:szCs w:val="28"/>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8" w:hRule="atLeast"/>
        </w:trPr>
        <w:tc>
          <w:tcPr>
            <w:tcW w:w="975" w:type="dxa"/>
            <w:vMerge w:val="restart"/>
            <w:tcBorders>
              <w:top w:val="single" w:color="000000" w:sz="2"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9"/>
                <w:sz w:val="24"/>
                <w:szCs w:val="24"/>
              </w:rPr>
              <w:t>财税补贴政策</w:t>
            </w:r>
          </w:p>
        </w:tc>
        <w:tc>
          <w:tcPr>
            <w:tcW w:w="660"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8"/>
                <w:sz w:val="24"/>
                <w:szCs w:val="24"/>
              </w:rPr>
              <w:t>15</w:t>
            </w:r>
          </w:p>
        </w:tc>
        <w:tc>
          <w:tcPr>
            <w:tcW w:w="472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firstLine="484"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9"/>
                <w:sz w:val="24"/>
                <w:szCs w:val="24"/>
              </w:rPr>
              <w:t>全面落实《财政部税务总局发展改革</w:t>
            </w:r>
            <w:r>
              <w:rPr>
                <w:rFonts w:hint="eastAsia" w:ascii="方正仿宋简体" w:hAnsi="方正仿宋简体" w:eastAsia="方正仿宋简体" w:cs="方正仿宋简体"/>
                <w:b/>
                <w:bCs/>
                <w:spacing w:val="17"/>
                <w:sz w:val="24"/>
                <w:szCs w:val="24"/>
              </w:rPr>
              <w:t>委民政部商务部卫生健康委关于养老、</w:t>
            </w:r>
            <w:r>
              <w:rPr>
                <w:rFonts w:hint="eastAsia" w:ascii="方正仿宋简体" w:hAnsi="方正仿宋简体" w:eastAsia="方正仿宋简体" w:cs="方正仿宋简体"/>
                <w:b/>
                <w:bCs/>
                <w:spacing w:val="-1"/>
                <w:sz w:val="24"/>
                <w:szCs w:val="24"/>
              </w:rPr>
              <w:t>托育、家政等社区家庭服务业税费优惠政策</w:t>
            </w:r>
            <w:r>
              <w:rPr>
                <w:rFonts w:hint="eastAsia" w:ascii="方正仿宋简体" w:hAnsi="方正仿宋简体" w:eastAsia="方正仿宋简体" w:cs="方正仿宋简体"/>
                <w:b/>
                <w:bCs/>
                <w:spacing w:val="12"/>
                <w:w w:val="102"/>
                <w:sz w:val="24"/>
                <w:szCs w:val="24"/>
              </w:rPr>
              <w:t>的公告》(财政部公告2019年第76号)、</w:t>
            </w:r>
            <w:r>
              <w:rPr>
                <w:rFonts w:hint="eastAsia" w:ascii="方正仿宋简体" w:hAnsi="方正仿宋简体" w:eastAsia="方正仿宋简体" w:cs="方正仿宋简体"/>
                <w:b/>
                <w:bCs/>
                <w:spacing w:val="6"/>
                <w:sz w:val="24"/>
                <w:szCs w:val="24"/>
              </w:rPr>
              <w:t>3岁以下婴幼儿照护个人所得税专项附加扣</w:t>
            </w:r>
            <w:r>
              <w:rPr>
                <w:rFonts w:hint="eastAsia" w:ascii="方正仿宋简体" w:hAnsi="方正仿宋简体" w:eastAsia="方正仿宋简体" w:cs="方正仿宋简体"/>
                <w:b/>
                <w:bCs/>
                <w:spacing w:val="10"/>
                <w:sz w:val="24"/>
                <w:szCs w:val="24"/>
              </w:rPr>
              <w:t>除等税费优惠减免政策。</w:t>
            </w:r>
          </w:p>
        </w:tc>
        <w:tc>
          <w:tcPr>
            <w:tcW w:w="2400"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3"/>
                <w:sz w:val="24"/>
                <w:szCs w:val="24"/>
                <w:lang w:eastAsia="zh-CN"/>
              </w:rPr>
              <w:t>区</w:t>
            </w:r>
            <w:r>
              <w:rPr>
                <w:rFonts w:hint="eastAsia" w:ascii="方正仿宋简体" w:hAnsi="方正仿宋简体" w:eastAsia="方正仿宋简体" w:cs="方正仿宋简体"/>
                <w:b/>
                <w:bCs/>
                <w:spacing w:val="3"/>
                <w:sz w:val="24"/>
                <w:szCs w:val="24"/>
              </w:rPr>
              <w:t>财政</w:t>
            </w:r>
            <w:r>
              <w:rPr>
                <w:rFonts w:hint="eastAsia" w:ascii="方正仿宋简体" w:hAnsi="方正仿宋简体" w:eastAsia="方正仿宋简体" w:cs="方正仿宋简体"/>
                <w:b/>
                <w:bCs/>
                <w:spacing w:val="3"/>
                <w:sz w:val="24"/>
                <w:szCs w:val="24"/>
                <w:lang w:eastAsia="zh-CN"/>
              </w:rPr>
              <w:t>分</w:t>
            </w:r>
            <w:r>
              <w:rPr>
                <w:rFonts w:hint="eastAsia" w:ascii="方正仿宋简体" w:hAnsi="方正仿宋简体" w:eastAsia="方正仿宋简体" w:cs="方正仿宋简体"/>
                <w:b/>
                <w:bCs/>
                <w:spacing w:val="3"/>
                <w:sz w:val="24"/>
                <w:szCs w:val="24"/>
              </w:rPr>
              <w:t>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3"/>
                <w:sz w:val="24"/>
                <w:szCs w:val="24"/>
                <w:lang w:eastAsia="zh-CN"/>
              </w:rPr>
              <w:t>区</w:t>
            </w:r>
            <w:r>
              <w:rPr>
                <w:rFonts w:hint="eastAsia" w:ascii="方正仿宋简体" w:hAnsi="方正仿宋简体" w:eastAsia="方正仿宋简体" w:cs="方正仿宋简体"/>
                <w:b/>
                <w:bCs/>
                <w:spacing w:val="3"/>
                <w:sz w:val="24"/>
                <w:szCs w:val="24"/>
              </w:rPr>
              <w:t>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6" w:hRule="atLeast"/>
        </w:trPr>
        <w:tc>
          <w:tcPr>
            <w:tcW w:w="975" w:type="dxa"/>
            <w:vMerge w:val="continue"/>
            <w:noWrap w:val="0"/>
            <w:textDirection w:val="tbRlV"/>
            <w:vAlign w:val="top"/>
          </w:tcPr>
          <w:p>
            <w:pPr>
              <w:keepNext w:val="0"/>
              <w:keepLines w:val="0"/>
              <w:pageBreakBefore w:val="0"/>
              <w:wordWrap/>
              <w:overflowPunct/>
              <w:topLinePunct w:val="0"/>
              <w:bidi w:val="0"/>
              <w:spacing w:line="360" w:lineRule="exact"/>
              <w:rPr>
                <w:rFonts w:hint="eastAsia" w:ascii="方正仿宋简体" w:hAnsi="方正仿宋简体" w:eastAsia="方正仿宋简体" w:cs="方正仿宋简体"/>
                <w:b/>
                <w:bCs/>
                <w:sz w:val="24"/>
                <w:szCs w:val="24"/>
              </w:rPr>
            </w:pPr>
          </w:p>
        </w:tc>
        <w:tc>
          <w:tcPr>
            <w:tcW w:w="660"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8"/>
                <w:sz w:val="24"/>
                <w:szCs w:val="24"/>
              </w:rPr>
              <w:t>16</w:t>
            </w:r>
          </w:p>
        </w:tc>
        <w:tc>
          <w:tcPr>
            <w:tcW w:w="472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firstLine="484" w:firstLineChars="200"/>
              <w:jc w:val="both"/>
              <w:rPr>
                <w:rFonts w:hint="eastAsia" w:ascii="方正仿宋简体" w:hAnsi="方正仿宋简体" w:eastAsia="方正仿宋简体" w:cs="方正仿宋简体"/>
                <w:b/>
                <w:bCs/>
                <w:spacing w:val="9"/>
                <w:sz w:val="24"/>
                <w:szCs w:val="24"/>
                <w:lang w:eastAsia="zh-CN"/>
              </w:rPr>
            </w:pP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lang w:val="en-US" w:eastAsia="zh-CN"/>
              </w:rPr>
              <w:t>1</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建设补助</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区管委会对新建的托育机构</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含幼儿园托班</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按照每个托位2000元的标准给予建设补助</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经验收合格后发放到相关机构</w:t>
            </w:r>
            <w:r>
              <w:rPr>
                <w:rFonts w:hint="eastAsia" w:ascii="方正仿宋简体" w:hAnsi="方正仿宋简体" w:eastAsia="方正仿宋简体" w:cs="方正仿宋简体"/>
                <w:b/>
                <w:bCs/>
                <w:spacing w:val="9"/>
                <w:sz w:val="24"/>
                <w:szCs w:val="24"/>
                <w:lang w:eastAsia="zh-CN"/>
              </w:rPr>
              <w:t>。</w:t>
            </w:r>
          </w:p>
          <w:p>
            <w:pPr>
              <w:keepNext w:val="0"/>
              <w:keepLines w:val="0"/>
              <w:pageBreakBefore w:val="0"/>
              <w:wordWrap/>
              <w:overflowPunct/>
              <w:topLinePunct w:val="0"/>
              <w:bidi w:val="0"/>
              <w:spacing w:line="360" w:lineRule="exact"/>
              <w:ind w:firstLine="484"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lang w:val="en-US" w:eastAsia="zh-CN"/>
              </w:rPr>
              <w:t>2</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运营补助</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区管委会对已登记备案的普惠托育机构</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根据机构收托人数</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乳儿班按3000元/人/年的标准给予补助</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其他班按2000元/人年的标准给予补助</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幼儿园单独开设托班</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且经登记备案按普惠标准提供服务的</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同等享受普惠托育机构运营补助</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经审核通过后发放到相关机构。</w:t>
            </w:r>
          </w:p>
        </w:tc>
        <w:tc>
          <w:tcPr>
            <w:tcW w:w="2400"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5"/>
                <w:sz w:val="24"/>
                <w:szCs w:val="24"/>
                <w:lang w:eastAsia="zh-CN"/>
              </w:rPr>
            </w:pPr>
            <w:r>
              <w:rPr>
                <w:rFonts w:hint="eastAsia" w:ascii="方正仿宋简体" w:hAnsi="方正仿宋简体" w:eastAsia="方正仿宋简体" w:cs="方正仿宋简体"/>
                <w:b/>
                <w:bCs/>
                <w:spacing w:val="5"/>
                <w:sz w:val="24"/>
                <w:szCs w:val="24"/>
                <w:lang w:eastAsia="zh-CN"/>
              </w:rPr>
              <w:t>区经发局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5"/>
                <w:sz w:val="24"/>
                <w:szCs w:val="24"/>
                <w:lang w:eastAsia="zh-CN"/>
              </w:rPr>
              <w:t>区</w:t>
            </w:r>
            <w:r>
              <w:rPr>
                <w:rFonts w:hint="eastAsia" w:ascii="方正仿宋简体" w:hAnsi="方正仿宋简体" w:eastAsia="方正仿宋简体" w:cs="方正仿宋简体"/>
                <w:b/>
                <w:bCs/>
                <w:spacing w:val="5"/>
                <w:sz w:val="24"/>
                <w:szCs w:val="24"/>
              </w:rPr>
              <w:t>财政</w:t>
            </w:r>
            <w:r>
              <w:rPr>
                <w:rFonts w:hint="eastAsia" w:ascii="方正仿宋简体" w:hAnsi="方正仿宋简体" w:eastAsia="方正仿宋简体" w:cs="方正仿宋简体"/>
                <w:b/>
                <w:bCs/>
                <w:spacing w:val="5"/>
                <w:sz w:val="24"/>
                <w:szCs w:val="24"/>
                <w:lang w:eastAsia="zh-CN"/>
              </w:rPr>
              <w:t>分</w:t>
            </w:r>
            <w:r>
              <w:rPr>
                <w:rFonts w:hint="eastAsia" w:ascii="方正仿宋简体" w:hAnsi="方正仿宋简体" w:eastAsia="方正仿宋简体" w:cs="方正仿宋简体"/>
                <w:b/>
                <w:bCs/>
                <w:spacing w:val="5"/>
                <w:sz w:val="24"/>
                <w:szCs w:val="24"/>
              </w:rPr>
              <w:t>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lang w:eastAsia="zh-CN"/>
              </w:rPr>
            </w:pPr>
            <w:r>
              <w:rPr>
                <w:rFonts w:hint="eastAsia" w:ascii="方正仿宋简体" w:hAnsi="方正仿宋简体" w:eastAsia="方正仿宋简体" w:cs="方正仿宋简体"/>
                <w:b/>
                <w:bCs/>
                <w:spacing w:val="1"/>
                <w:sz w:val="24"/>
                <w:szCs w:val="24"/>
                <w:lang w:eastAsia="zh-CN"/>
              </w:rPr>
              <w:t>区卫健办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1" w:hRule="atLeast"/>
        </w:trPr>
        <w:tc>
          <w:tcPr>
            <w:tcW w:w="975" w:type="dxa"/>
            <w:vMerge w:val="continue"/>
            <w:tcBorders>
              <w:bottom w:val="single" w:color="000000" w:sz="2" w:space="0"/>
            </w:tcBorders>
            <w:noWrap w:val="0"/>
            <w:textDirection w:val="tbRlV"/>
            <w:vAlign w:val="top"/>
          </w:tcPr>
          <w:p>
            <w:pPr>
              <w:keepNext w:val="0"/>
              <w:keepLines w:val="0"/>
              <w:pageBreakBefore w:val="0"/>
              <w:wordWrap/>
              <w:overflowPunct/>
              <w:topLinePunct w:val="0"/>
              <w:bidi w:val="0"/>
              <w:spacing w:line="360" w:lineRule="exact"/>
              <w:rPr>
                <w:rFonts w:hint="eastAsia" w:ascii="方正仿宋简体" w:hAnsi="方正仿宋简体" w:eastAsia="方正仿宋简体" w:cs="方正仿宋简体"/>
                <w:b/>
                <w:bCs/>
                <w:sz w:val="24"/>
                <w:szCs w:val="24"/>
              </w:rPr>
            </w:pPr>
          </w:p>
        </w:tc>
        <w:tc>
          <w:tcPr>
            <w:tcW w:w="660"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pacing w:val="-8"/>
                <w:sz w:val="24"/>
                <w:szCs w:val="24"/>
              </w:rPr>
            </w:pPr>
            <w:r>
              <w:rPr>
                <w:rFonts w:hint="eastAsia" w:ascii="方正仿宋简体" w:hAnsi="方正仿宋简体" w:eastAsia="方正仿宋简体" w:cs="方正仿宋简体"/>
                <w:b/>
                <w:bCs/>
                <w:spacing w:val="-7"/>
                <w:sz w:val="24"/>
                <w:szCs w:val="24"/>
              </w:rPr>
              <w:t>17</w:t>
            </w:r>
          </w:p>
        </w:tc>
        <w:tc>
          <w:tcPr>
            <w:tcW w:w="472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92" w:rightChars="0" w:firstLine="484"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9"/>
                <w:sz w:val="24"/>
                <w:szCs w:val="24"/>
              </w:rPr>
              <w:t>托育服务机构用电、用水、用气、用暖按居民生活类价格执行</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托育机构申请办理电、水、气、暖等业务</w:t>
            </w:r>
            <w:r>
              <w:rPr>
                <w:rFonts w:hint="eastAsia" w:ascii="方正仿宋简体" w:hAnsi="方正仿宋简体" w:eastAsia="方正仿宋简体" w:cs="方正仿宋简体"/>
                <w:b/>
                <w:bCs/>
                <w:spacing w:val="9"/>
                <w:sz w:val="24"/>
                <w:szCs w:val="24"/>
                <w:lang w:eastAsia="zh-CN"/>
              </w:rPr>
              <w:t>，</w:t>
            </w:r>
            <w:r>
              <w:rPr>
                <w:rFonts w:hint="eastAsia" w:ascii="方正仿宋简体" w:hAnsi="方正仿宋简体" w:eastAsia="方正仿宋简体" w:cs="方正仿宋简体"/>
                <w:b/>
                <w:bCs/>
                <w:spacing w:val="9"/>
                <w:sz w:val="24"/>
                <w:szCs w:val="24"/>
              </w:rPr>
              <w:t>实行限时办结。</w:t>
            </w:r>
          </w:p>
        </w:tc>
        <w:tc>
          <w:tcPr>
            <w:tcW w:w="2400"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区经发局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区建设局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区水务办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区市场监管局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区供电部</w:t>
            </w:r>
          </w:p>
        </w:tc>
      </w:tr>
    </w:tbl>
    <w:p>
      <w:pPr>
        <w:keepNext w:val="0"/>
        <w:keepLines w:val="0"/>
        <w:pageBreakBefore w:val="0"/>
        <w:wordWrap/>
        <w:overflowPunct/>
        <w:topLinePunct w:val="0"/>
        <w:bidi w:val="0"/>
        <w:spacing w:line="360" w:lineRule="exact"/>
        <w:rPr>
          <w:rFonts w:hint="eastAsia" w:ascii="仿宋_GB2312" w:hAnsi="仿宋_GB2312" w:eastAsia="仿宋_GB2312" w:cs="仿宋_GB2312"/>
        </w:rPr>
      </w:pPr>
    </w:p>
    <w:tbl>
      <w:tblPr>
        <w:tblStyle w:val="8"/>
        <w:tblW w:w="8730" w:type="dxa"/>
        <w:tblInd w:w="-2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5"/>
        <w:gridCol w:w="705"/>
        <w:gridCol w:w="4695"/>
        <w:gridCol w:w="23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4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bCs/>
                <w:spacing w:val="-3"/>
                <w:sz w:val="28"/>
                <w:szCs w:val="28"/>
              </w:rPr>
            </w:pPr>
            <w:r>
              <w:rPr>
                <w:rFonts w:hint="eastAsia" w:ascii="方正黑体简体" w:hAnsi="方正黑体简体" w:eastAsia="方正黑体简体" w:cs="方正黑体简体"/>
                <w:b/>
                <w:bCs/>
                <w:spacing w:val="-3"/>
                <w:sz w:val="28"/>
                <w:szCs w:val="28"/>
              </w:rPr>
              <w:t>政策</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bCs/>
                <w:spacing w:val="-3"/>
                <w:sz w:val="28"/>
                <w:szCs w:val="28"/>
              </w:rPr>
            </w:pPr>
            <w:r>
              <w:rPr>
                <w:rFonts w:hint="eastAsia" w:ascii="方正黑体简体" w:hAnsi="方正黑体简体" w:eastAsia="方正黑体简体" w:cs="方正黑体简体"/>
                <w:b/>
                <w:bCs/>
                <w:spacing w:val="-3"/>
                <w:sz w:val="28"/>
                <w:szCs w:val="28"/>
              </w:rPr>
              <w:t>名称</w:t>
            </w:r>
          </w:p>
        </w:tc>
        <w:tc>
          <w:tcPr>
            <w:tcW w:w="70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黑体简体" w:hAnsi="方正黑体简体" w:eastAsia="方正黑体简体" w:cs="方正黑体简体"/>
                <w:b/>
                <w:bCs/>
                <w:spacing w:val="-3"/>
                <w:sz w:val="28"/>
                <w:szCs w:val="28"/>
              </w:rPr>
            </w:pPr>
            <w:r>
              <w:rPr>
                <w:rFonts w:hint="eastAsia" w:ascii="方正黑体简体" w:hAnsi="方正黑体简体" w:eastAsia="方正黑体简体" w:cs="方正黑体简体"/>
                <w:b/>
                <w:bCs/>
                <w:spacing w:val="-3"/>
                <w:sz w:val="28"/>
                <w:szCs w:val="28"/>
              </w:rPr>
              <w:t>序号</w:t>
            </w:r>
          </w:p>
        </w:tc>
        <w:tc>
          <w:tcPr>
            <w:tcW w:w="469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黑体简体" w:hAnsi="方正黑体简体" w:eastAsia="方正黑体简体" w:cs="方正黑体简体"/>
                <w:b/>
                <w:bCs/>
                <w:spacing w:val="-3"/>
                <w:sz w:val="28"/>
                <w:szCs w:val="28"/>
              </w:rPr>
            </w:pPr>
            <w:r>
              <w:rPr>
                <w:rFonts w:hint="eastAsia" w:ascii="方正黑体简体" w:hAnsi="方正黑体简体" w:eastAsia="方正黑体简体" w:cs="方正黑体简体"/>
                <w:b/>
                <w:bCs/>
                <w:spacing w:val="-3"/>
                <w:sz w:val="28"/>
                <w:szCs w:val="28"/>
              </w:rPr>
              <w:t>支持政策内容</w:t>
            </w:r>
          </w:p>
        </w:tc>
        <w:tc>
          <w:tcPr>
            <w:tcW w:w="238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黑体简体" w:hAnsi="方正黑体简体" w:eastAsia="方正黑体简体" w:cs="方正黑体简体"/>
                <w:b/>
                <w:bCs/>
                <w:spacing w:val="-3"/>
                <w:sz w:val="28"/>
                <w:szCs w:val="28"/>
              </w:rPr>
            </w:pPr>
            <w:r>
              <w:rPr>
                <w:rFonts w:hint="eastAsia" w:ascii="方正黑体简体" w:hAnsi="方正黑体简体" w:eastAsia="方正黑体简体" w:cs="方正黑体简体"/>
                <w:b/>
                <w:bCs/>
                <w:spacing w:val="-3"/>
                <w:sz w:val="28"/>
                <w:szCs w:val="28"/>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945" w:type="dxa"/>
            <w:vMerge w:val="restart"/>
            <w:tcBorders>
              <w:top w:val="single" w:color="000000" w:sz="2"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9"/>
                <w:sz w:val="24"/>
                <w:szCs w:val="24"/>
              </w:rPr>
              <w:t>人才支持政策</w:t>
            </w:r>
          </w:p>
        </w:tc>
        <w:tc>
          <w:tcPr>
            <w:tcW w:w="70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7"/>
                <w:sz w:val="24"/>
                <w:szCs w:val="24"/>
              </w:rPr>
              <w:t>18</w:t>
            </w:r>
          </w:p>
        </w:tc>
        <w:tc>
          <w:tcPr>
            <w:tcW w:w="469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122" w:firstLine="480" w:firstLineChars="200"/>
              <w:jc w:val="both"/>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8"/>
                <w:sz w:val="24"/>
                <w:szCs w:val="24"/>
              </w:rPr>
              <w:t>开设托育人才培养专业</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培育相关管理、技</w:t>
            </w:r>
            <w:r>
              <w:rPr>
                <w:rFonts w:hint="eastAsia" w:ascii="方正仿宋简体" w:hAnsi="方正仿宋简体" w:eastAsia="方正仿宋简体" w:cs="方正仿宋简体"/>
                <w:b/>
                <w:bCs/>
                <w:spacing w:val="1"/>
                <w:sz w:val="24"/>
                <w:szCs w:val="24"/>
              </w:rPr>
              <w:t>术技能型应用人才。</w:t>
            </w:r>
          </w:p>
        </w:tc>
        <w:tc>
          <w:tcPr>
            <w:tcW w:w="2385" w:type="dxa"/>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区教育分局</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1"/>
                <w:sz w:val="24"/>
                <w:szCs w:val="24"/>
                <w:lang w:eastAsia="zh-CN"/>
              </w:rPr>
              <w:t>区社保中心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5" w:hRule="atLeast"/>
        </w:trPr>
        <w:tc>
          <w:tcPr>
            <w:tcW w:w="945" w:type="dxa"/>
            <w:vMerge w:val="continue"/>
            <w:tcBorders>
              <w:top w:val="nil"/>
              <w:bottom w:val="single" w:color="000000" w:sz="2" w:space="0"/>
            </w:tcBorders>
            <w:noWrap w:val="0"/>
            <w:textDirection w:val="tbRlV"/>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p>
        </w:tc>
        <w:tc>
          <w:tcPr>
            <w:tcW w:w="70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7"/>
                <w:sz w:val="24"/>
                <w:szCs w:val="24"/>
              </w:rPr>
              <w:t>19</w:t>
            </w:r>
          </w:p>
        </w:tc>
        <w:tc>
          <w:tcPr>
            <w:tcW w:w="469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122" w:firstLine="480" w:firstLineChars="200"/>
              <w:jc w:val="both"/>
              <w:rPr>
                <w:rFonts w:hint="eastAsia" w:ascii="方正仿宋简体" w:hAnsi="方正仿宋简体" w:eastAsia="方正仿宋简体" w:cs="方正仿宋简体"/>
                <w:b/>
                <w:bCs/>
                <w:spacing w:val="8"/>
                <w:sz w:val="24"/>
                <w:szCs w:val="24"/>
              </w:rPr>
            </w:pPr>
            <w:r>
              <w:rPr>
                <w:rFonts w:hint="eastAsia" w:ascii="方正仿宋简体" w:hAnsi="方正仿宋简体" w:eastAsia="方正仿宋简体" w:cs="方正仿宋简体"/>
                <w:b/>
                <w:bCs/>
                <w:spacing w:val="8"/>
                <w:sz w:val="24"/>
                <w:szCs w:val="24"/>
              </w:rPr>
              <w:t>各级人力资源社会保障部门做好从业人员技能培训和考核工作</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将托育相关专业列入政府补贴性职业技能培训目录</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把育婴师、保育员等托育服务从业人员纳入当地政府职业技能培训计划</w:t>
            </w:r>
            <w:r>
              <w:rPr>
                <w:rFonts w:hint="eastAsia" w:ascii="方正仿宋简体" w:hAnsi="方正仿宋简体" w:eastAsia="方正仿宋简体" w:cs="方正仿宋简体"/>
                <w:b/>
                <w:bCs/>
                <w:spacing w:val="8"/>
                <w:sz w:val="24"/>
                <w:szCs w:val="24"/>
                <w:lang w:val="en-US" w:eastAsia="zh-CN"/>
              </w:rPr>
              <w:t>，</w:t>
            </w:r>
            <w:r>
              <w:rPr>
                <w:rFonts w:hint="eastAsia" w:ascii="方正仿宋简体" w:hAnsi="方正仿宋简体" w:eastAsia="方正仿宋简体" w:cs="方正仿宋简体"/>
                <w:b/>
                <w:bCs/>
                <w:spacing w:val="8"/>
                <w:sz w:val="24"/>
                <w:szCs w:val="24"/>
              </w:rPr>
              <w:t>按规定落实职业培训补贴。将托育专业纳入</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我是状元</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职业技能竞赛项目。</w:t>
            </w:r>
          </w:p>
        </w:tc>
        <w:tc>
          <w:tcPr>
            <w:tcW w:w="2385" w:type="dxa"/>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区社保中心</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区总工会</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方正仿宋简体" w:hAnsi="方正仿宋简体" w:eastAsia="方正仿宋简体" w:cs="方正仿宋简体"/>
                <w:b/>
                <w:bCs/>
                <w:sz w:val="24"/>
                <w:szCs w:val="24"/>
                <w:lang w:eastAsia="zh-CN"/>
              </w:rPr>
            </w:pPr>
            <w:r>
              <w:rPr>
                <w:rFonts w:hint="eastAsia" w:ascii="方正仿宋简体" w:hAnsi="方正仿宋简体" w:eastAsia="方正仿宋简体" w:cs="方正仿宋简体"/>
                <w:b/>
                <w:bCs/>
                <w:spacing w:val="1"/>
                <w:sz w:val="24"/>
                <w:szCs w:val="24"/>
                <w:lang w:eastAsia="zh-CN"/>
              </w:rPr>
              <w:t>区卫健办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7" w:hRule="atLeast"/>
        </w:trPr>
        <w:tc>
          <w:tcPr>
            <w:tcW w:w="945" w:type="dxa"/>
            <w:tcBorders>
              <w:top w:val="single" w:color="000000" w:sz="2" w:space="0"/>
              <w:bottom w:val="single" w:color="000000" w:sz="2"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9"/>
                <w:sz w:val="24"/>
                <w:szCs w:val="24"/>
              </w:rPr>
              <w:t>卫生支持政策</w:t>
            </w:r>
          </w:p>
        </w:tc>
        <w:tc>
          <w:tcPr>
            <w:tcW w:w="70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4"/>
                <w:sz w:val="24"/>
                <w:szCs w:val="24"/>
              </w:rPr>
              <w:t>20</w:t>
            </w:r>
          </w:p>
        </w:tc>
        <w:tc>
          <w:tcPr>
            <w:tcW w:w="469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122" w:firstLine="480" w:firstLineChars="200"/>
              <w:jc w:val="both"/>
              <w:rPr>
                <w:rFonts w:hint="eastAsia" w:ascii="方正仿宋简体" w:hAnsi="方正仿宋简体" w:eastAsia="方正仿宋简体" w:cs="方正仿宋简体"/>
                <w:b/>
                <w:bCs/>
                <w:spacing w:val="8"/>
                <w:sz w:val="24"/>
                <w:szCs w:val="24"/>
              </w:rPr>
            </w:pPr>
            <w:r>
              <w:rPr>
                <w:rFonts w:hint="eastAsia" w:ascii="方正仿宋简体" w:hAnsi="方正仿宋简体" w:eastAsia="方正仿宋简体" w:cs="方正仿宋简体"/>
                <w:b/>
                <w:bCs/>
                <w:spacing w:val="8"/>
                <w:sz w:val="24"/>
                <w:szCs w:val="24"/>
              </w:rPr>
              <w:t>卫生健康部门及其医疗、卫生、保健机构对辖区内托育机构进行管理和医疗、儿童保健、膳食营养、疾病防控等技术指导</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为托育从业人员培训提供技术支持。</w:t>
            </w:r>
          </w:p>
        </w:tc>
        <w:tc>
          <w:tcPr>
            <w:tcW w:w="238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1"/>
                <w:sz w:val="24"/>
                <w:szCs w:val="24"/>
                <w:lang w:eastAsia="zh-CN"/>
              </w:rPr>
              <w:t>区卫健办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4" w:hRule="atLeast"/>
        </w:trPr>
        <w:tc>
          <w:tcPr>
            <w:tcW w:w="945" w:type="dxa"/>
            <w:tcBorders>
              <w:top w:val="single" w:color="000000" w:sz="2" w:space="0"/>
              <w:bottom w:val="single" w:color="000000" w:sz="2"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9"/>
                <w:sz w:val="24"/>
                <w:szCs w:val="24"/>
              </w:rPr>
              <w:t>消防支持政策</w:t>
            </w:r>
          </w:p>
        </w:tc>
        <w:tc>
          <w:tcPr>
            <w:tcW w:w="70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4"/>
                <w:sz w:val="24"/>
                <w:szCs w:val="24"/>
              </w:rPr>
              <w:t>21</w:t>
            </w:r>
          </w:p>
        </w:tc>
        <w:tc>
          <w:tcPr>
            <w:tcW w:w="469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122" w:firstLine="480" w:firstLineChars="200"/>
              <w:jc w:val="both"/>
              <w:rPr>
                <w:rFonts w:hint="eastAsia" w:ascii="方正仿宋简体" w:hAnsi="方正仿宋简体" w:eastAsia="方正仿宋简体" w:cs="方正仿宋简体"/>
                <w:b/>
                <w:bCs/>
                <w:spacing w:val="8"/>
                <w:sz w:val="24"/>
                <w:szCs w:val="24"/>
              </w:rPr>
            </w:pPr>
            <w:r>
              <w:rPr>
                <w:rFonts w:hint="eastAsia" w:ascii="方正仿宋简体" w:hAnsi="方正仿宋简体" w:eastAsia="方正仿宋简体" w:cs="方正仿宋简体"/>
                <w:b/>
                <w:bCs/>
                <w:spacing w:val="8"/>
                <w:sz w:val="24"/>
                <w:szCs w:val="24"/>
              </w:rPr>
              <w:t>做好托育机构消防审批服务</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建立工作机制</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对试点项目采用一事一议</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提高审批效能。</w:t>
            </w:r>
          </w:p>
        </w:tc>
        <w:tc>
          <w:tcPr>
            <w:tcW w:w="2385"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pacing w:val="2"/>
                <w:sz w:val="24"/>
                <w:szCs w:val="24"/>
                <w:lang w:eastAsia="zh-CN"/>
              </w:rPr>
              <w:t>区</w:t>
            </w:r>
            <w:r>
              <w:rPr>
                <w:rFonts w:hint="eastAsia" w:ascii="方正仿宋简体" w:hAnsi="方正仿宋简体" w:eastAsia="方正仿宋简体" w:cs="方正仿宋简体"/>
                <w:b/>
                <w:bCs/>
                <w:spacing w:val="2"/>
                <w:sz w:val="24"/>
                <w:szCs w:val="24"/>
              </w:rPr>
              <w:t>行政审批服务局</w:t>
            </w:r>
            <w:r>
              <w:rPr>
                <w:rFonts w:hint="eastAsia" w:ascii="方正仿宋简体" w:hAnsi="方正仿宋简体" w:eastAsia="方正仿宋简体" w:cs="方正仿宋简体"/>
                <w:b/>
                <w:bCs/>
                <w:spacing w:val="2"/>
                <w:sz w:val="24"/>
                <w:szCs w:val="24"/>
                <w:lang w:val="en-US" w:eastAsia="zh-CN"/>
              </w:rPr>
              <w:t xml:space="preserve">      </w:t>
            </w:r>
            <w:r>
              <w:rPr>
                <w:rFonts w:hint="eastAsia" w:ascii="方正仿宋简体" w:hAnsi="方正仿宋简体" w:eastAsia="方正仿宋简体" w:cs="方正仿宋简体"/>
                <w:b/>
                <w:bCs/>
                <w:spacing w:val="2"/>
                <w:sz w:val="24"/>
                <w:szCs w:val="24"/>
                <w:lang w:eastAsia="zh-CN"/>
              </w:rPr>
              <w:t>区建设局</w:t>
            </w:r>
            <w:r>
              <w:rPr>
                <w:rFonts w:hint="eastAsia" w:ascii="方正仿宋简体" w:hAnsi="方正仿宋简体" w:eastAsia="方正仿宋简体" w:cs="方正仿宋简体"/>
                <w:b/>
                <w:bCs/>
                <w:spacing w:val="2"/>
                <w:sz w:val="24"/>
                <w:szCs w:val="24"/>
                <w:lang w:val="en-US" w:eastAsia="zh-CN"/>
              </w:rPr>
              <w:t xml:space="preserve">           区消防大队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4" w:hRule="atLeast"/>
        </w:trPr>
        <w:tc>
          <w:tcPr>
            <w:tcW w:w="945" w:type="dxa"/>
            <w:tcBorders>
              <w:top w:val="single" w:color="000000" w:sz="2" w:space="0"/>
              <w:bottom w:val="single" w:color="000000" w:sz="2"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9"/>
                <w:sz w:val="24"/>
                <w:szCs w:val="24"/>
              </w:rPr>
              <w:t>普惠托育服务价格</w:t>
            </w:r>
          </w:p>
        </w:tc>
        <w:tc>
          <w:tcPr>
            <w:tcW w:w="70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4"/>
                <w:sz w:val="24"/>
                <w:szCs w:val="24"/>
              </w:rPr>
              <w:t>22</w:t>
            </w:r>
          </w:p>
        </w:tc>
        <w:tc>
          <w:tcPr>
            <w:tcW w:w="469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122" w:firstLine="480" w:firstLineChars="200"/>
              <w:jc w:val="both"/>
              <w:rPr>
                <w:rFonts w:hint="eastAsia" w:ascii="方正仿宋简体" w:hAnsi="方正仿宋简体" w:eastAsia="方正仿宋简体" w:cs="方正仿宋简体"/>
                <w:b/>
                <w:bCs/>
                <w:spacing w:val="8"/>
                <w:sz w:val="24"/>
                <w:szCs w:val="24"/>
                <w:lang w:eastAsia="zh-CN"/>
              </w:rPr>
            </w:pPr>
            <w:r>
              <w:rPr>
                <w:rFonts w:hint="eastAsia" w:ascii="方正仿宋简体" w:hAnsi="方正仿宋简体" w:eastAsia="方正仿宋简体" w:cs="方正仿宋简体"/>
                <w:b/>
                <w:bCs/>
                <w:spacing w:val="8"/>
                <w:sz w:val="24"/>
                <w:szCs w:val="24"/>
              </w:rPr>
              <w:t>按照质量有保障、价格可承受、方便可及的普惠性导向</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综合考虑我</w:t>
            </w:r>
            <w:r>
              <w:rPr>
                <w:rFonts w:hint="eastAsia" w:ascii="方正仿宋简体" w:hAnsi="方正仿宋简体" w:eastAsia="方正仿宋简体" w:cs="方正仿宋简体"/>
                <w:b/>
                <w:bCs/>
                <w:spacing w:val="8"/>
                <w:sz w:val="24"/>
                <w:szCs w:val="24"/>
                <w:lang w:eastAsia="zh-CN"/>
              </w:rPr>
              <w:t>区</w:t>
            </w:r>
            <w:r>
              <w:rPr>
                <w:rFonts w:hint="eastAsia" w:ascii="方正仿宋简体" w:hAnsi="方正仿宋简体" w:eastAsia="方正仿宋简体" w:cs="方正仿宋简体"/>
                <w:b/>
                <w:bCs/>
                <w:spacing w:val="8"/>
                <w:sz w:val="24"/>
                <w:szCs w:val="24"/>
              </w:rPr>
              <w:t>居民收入水平、机构服务成本和合理利润等因素</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建议收费标准乳儿班不高于2500元/人/月</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托小班、托大班和混龄班不高于1900元/人/月</w:t>
            </w:r>
            <w:r>
              <w:rPr>
                <w:rFonts w:hint="eastAsia" w:ascii="方正仿宋简体" w:hAnsi="方正仿宋简体" w:eastAsia="方正仿宋简体" w:cs="方正仿宋简体"/>
                <w:b/>
                <w:bCs/>
                <w:spacing w:val="8"/>
                <w:sz w:val="24"/>
                <w:szCs w:val="24"/>
                <w:lang w:eastAsia="zh-CN"/>
              </w:rPr>
              <w:t>。</w:t>
            </w:r>
          </w:p>
        </w:tc>
        <w:tc>
          <w:tcPr>
            <w:tcW w:w="238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pacing w:val="1"/>
                <w:position w:val="5"/>
                <w:sz w:val="24"/>
                <w:szCs w:val="24"/>
                <w:lang w:eastAsia="zh-CN"/>
              </w:rPr>
            </w:pPr>
            <w:r>
              <w:rPr>
                <w:rFonts w:hint="eastAsia" w:ascii="方正仿宋简体" w:hAnsi="方正仿宋简体" w:eastAsia="方正仿宋简体" w:cs="方正仿宋简体"/>
                <w:b/>
                <w:bCs/>
                <w:spacing w:val="1"/>
                <w:position w:val="5"/>
                <w:sz w:val="24"/>
                <w:szCs w:val="24"/>
                <w:lang w:eastAsia="zh-CN"/>
              </w:rPr>
              <w:t>区经发局</w:t>
            </w:r>
          </w:p>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1"/>
                <w:sz w:val="24"/>
                <w:szCs w:val="24"/>
                <w:lang w:eastAsia="zh-CN"/>
              </w:rPr>
              <w:t>区卫健办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9" w:hRule="atLeast"/>
        </w:trPr>
        <w:tc>
          <w:tcPr>
            <w:tcW w:w="945" w:type="dxa"/>
            <w:tcBorders>
              <w:top w:val="single" w:color="000000" w:sz="2" w:space="0"/>
              <w:bottom w:val="single" w:color="000000" w:sz="2"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pacing w:val="9"/>
                <w:sz w:val="24"/>
                <w:szCs w:val="24"/>
              </w:rPr>
              <w:t>监督管理政策</w:t>
            </w:r>
          </w:p>
        </w:tc>
        <w:tc>
          <w:tcPr>
            <w:tcW w:w="70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pacing w:val="-4"/>
                <w:sz w:val="24"/>
                <w:szCs w:val="24"/>
              </w:rPr>
            </w:pPr>
            <w:r>
              <w:rPr>
                <w:rFonts w:hint="eastAsia" w:ascii="方正仿宋简体" w:hAnsi="方正仿宋简体" w:eastAsia="方正仿宋简体" w:cs="方正仿宋简体"/>
                <w:b/>
                <w:bCs/>
                <w:spacing w:val="-4"/>
                <w:sz w:val="24"/>
                <w:szCs w:val="24"/>
              </w:rPr>
              <w:t>23</w:t>
            </w:r>
          </w:p>
        </w:tc>
        <w:tc>
          <w:tcPr>
            <w:tcW w:w="469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ind w:right="122" w:firstLine="480" w:firstLineChars="200"/>
              <w:jc w:val="both"/>
              <w:rPr>
                <w:rFonts w:hint="eastAsia" w:ascii="方正仿宋简体" w:hAnsi="方正仿宋简体" w:eastAsia="方正仿宋简体" w:cs="方正仿宋简体"/>
                <w:b/>
                <w:bCs/>
                <w:spacing w:val="8"/>
                <w:sz w:val="24"/>
                <w:szCs w:val="24"/>
              </w:rPr>
            </w:pPr>
            <w:r>
              <w:rPr>
                <w:rFonts w:hint="eastAsia" w:ascii="方正仿宋简体" w:hAnsi="方正仿宋简体" w:eastAsia="方正仿宋简体" w:cs="方正仿宋简体"/>
                <w:b/>
                <w:bCs/>
                <w:spacing w:val="8"/>
                <w:sz w:val="24"/>
                <w:szCs w:val="24"/>
              </w:rPr>
              <w:t>建立项目长期跟踪监管机</w:t>
            </w:r>
            <w:r>
              <w:rPr>
                <w:rFonts w:hint="eastAsia" w:ascii="方正仿宋简体" w:hAnsi="方正仿宋简体" w:eastAsia="方正仿宋简体" w:cs="方正仿宋简体"/>
                <w:b/>
                <w:bCs/>
                <w:spacing w:val="8"/>
                <w:sz w:val="24"/>
                <w:szCs w:val="24"/>
                <w:lang w:eastAsia="zh-CN"/>
              </w:rPr>
              <w:t>制，</w:t>
            </w:r>
            <w:r>
              <w:rPr>
                <w:rFonts w:hint="eastAsia" w:ascii="方正仿宋简体" w:hAnsi="方正仿宋简体" w:eastAsia="方正仿宋简体" w:cs="方正仿宋简体"/>
                <w:b/>
                <w:bCs/>
                <w:spacing w:val="8"/>
                <w:sz w:val="24"/>
                <w:szCs w:val="24"/>
              </w:rPr>
              <w:t>原则上要确保支持项目长期可持续运营</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因故确需退出的</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应由其他托育企业承接</w:t>
            </w:r>
            <w:r>
              <w:rPr>
                <w:rFonts w:hint="eastAsia" w:ascii="方正仿宋简体" w:hAnsi="方正仿宋简体" w:eastAsia="方正仿宋简体" w:cs="方正仿宋简体"/>
                <w:b/>
                <w:bCs/>
                <w:spacing w:val="8"/>
                <w:sz w:val="24"/>
                <w:szCs w:val="24"/>
                <w:lang w:eastAsia="zh-CN"/>
              </w:rPr>
              <w:t>。</w:t>
            </w:r>
            <w:r>
              <w:rPr>
                <w:rFonts w:hint="eastAsia" w:ascii="方正仿宋简体" w:hAnsi="方正仿宋简体" w:eastAsia="方正仿宋简体" w:cs="方正仿宋简体"/>
                <w:b/>
                <w:bCs/>
                <w:spacing w:val="8"/>
                <w:sz w:val="24"/>
                <w:szCs w:val="24"/>
              </w:rPr>
              <w:t>发改部门做好中央预算内投资项目事中事后监管。</w:t>
            </w:r>
          </w:p>
        </w:tc>
        <w:tc>
          <w:tcPr>
            <w:tcW w:w="2385" w:type="dxa"/>
            <w:tcBorders>
              <w:top w:val="single" w:color="000000" w:sz="2" w:space="0"/>
              <w:bottom w:val="single" w:color="000000" w:sz="2" w:space="0"/>
            </w:tcBorders>
            <w:noWrap w:val="0"/>
            <w:vAlign w:val="center"/>
          </w:tcPr>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区经发局</w:t>
            </w:r>
          </w:p>
          <w:p>
            <w:pPr>
              <w:keepNext w:val="0"/>
              <w:keepLines w:val="0"/>
              <w:pageBreakBefore w:val="0"/>
              <w:wordWrap/>
              <w:overflowPunct/>
              <w:topLinePunct w:val="0"/>
              <w:bidi w:val="0"/>
              <w:spacing w:line="360" w:lineRule="exact"/>
              <w:jc w:val="center"/>
              <w:rPr>
                <w:rFonts w:hint="eastAsia" w:ascii="方正仿宋简体" w:hAnsi="方正仿宋简体" w:eastAsia="方正仿宋简体" w:cs="方正仿宋简体"/>
                <w:b/>
                <w:bCs/>
                <w:spacing w:val="1"/>
                <w:sz w:val="24"/>
                <w:szCs w:val="24"/>
                <w:lang w:eastAsia="zh-CN"/>
              </w:rPr>
            </w:pPr>
            <w:r>
              <w:rPr>
                <w:rFonts w:hint="eastAsia" w:ascii="方正仿宋简体" w:hAnsi="方正仿宋简体" w:eastAsia="方正仿宋简体" w:cs="方正仿宋简体"/>
                <w:b/>
                <w:bCs/>
                <w:spacing w:val="1"/>
                <w:sz w:val="24"/>
                <w:szCs w:val="24"/>
                <w:lang w:eastAsia="zh-CN"/>
              </w:rPr>
              <w:t>区卫健办</w:t>
            </w:r>
          </w:p>
        </w:tc>
      </w:tr>
    </w:tbl>
    <w:p>
      <w:pPr>
        <w:spacing w:line="32" w:lineRule="exact"/>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spacing w:line="600" w:lineRule="exact"/>
        <w:rPr>
          <w:rFonts w:hint="eastAsia"/>
        </w:rPr>
      </w:pPr>
      <w:r>
        <w:rPr>
          <w:rFonts w:ascii="方正仿宋简体" w:eastAsia="方正仿宋简体"/>
          <w:b/>
          <w:color w:val="000000"/>
          <w:sz w:val="30"/>
          <w:szCs w:val="3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425450</wp:posOffset>
                </wp:positionV>
                <wp:extent cx="54000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3.5pt;height:0pt;width:425.2pt;z-index:251659264;mso-width-relative:page;mso-height-relative:page;" filled="f" stroked="t" coordsize="21600,21600" o:gfxdata="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kIub71QAAAAYBAAAPAAAAAAAAAAEAIAAAACIAAABkcnMvZG93bnJldi54bWxQ&#10;SwECFAAUAAAACACHTuJADN4uNPoBAADyAwAADgAAAAAAAAABACAAAAAkAQAAZHJzL2Uyb0RvYy54&#10;bWxQSwUGAAAAAAYABgBZAQAAkAUAAAAA&#10;">
                <v:path arrowok="t"/>
                <v:fill on="f" focussize="0,0"/>
                <v:stroke joinstyle="round"/>
                <v:imagedata o:title=""/>
                <o:lock v:ext="edit" aspectratio="f"/>
              </v:line>
            </w:pict>
          </mc:Fallback>
        </mc:AlternateContent>
      </w:r>
      <w:r>
        <w:rPr>
          <w:rFonts w:ascii="方正仿宋简体" w:eastAsia="方正仿宋简体"/>
          <w:b/>
          <w:color w:val="000000"/>
          <w:sz w:val="30"/>
          <w:szCs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38100</wp:posOffset>
                </wp:positionV>
                <wp:extent cx="54000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pt;height:0pt;width:425.2pt;z-index:251660288;mso-width-relative:page;mso-height-relative:page;" filled="f" stroked="t" coordsize="21600,21600" o:gfxdata="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V8JkF0wAAAAQBAAAPAAAAAAAAAAEAIAAAACIAAABkcnMvZG93bnJldi54bWxQSwEC&#10;FAAUAAAACACHTuJA3DJicfkBAADyAwAADgAAAAAAAAABACAAAAAiAQAAZHJzL2Uyb0RvYy54bWxQ&#10;SwUGAAAAAAYABgBZAQAAjQUAAAAA&#10;">
                <v:path arrowok="t"/>
                <v:fill on="f" focussize="0,0"/>
                <v:stroke joinstyle="round"/>
                <v:imagedata o:title=""/>
                <o:lock v:ext="edit" aspectratio="f"/>
              </v:line>
            </w:pict>
          </mc:Fallback>
        </mc:AlternateContent>
      </w:r>
      <w:r>
        <w:rPr>
          <w:rFonts w:hint="eastAsia" w:ascii="方正仿宋简体" w:eastAsia="方正仿宋简体"/>
          <w:b/>
          <w:color w:val="000000"/>
          <w:sz w:val="30"/>
          <w:szCs w:val="30"/>
        </w:rPr>
        <w:t xml:space="preserve">济宁太白湖新区党政办公室             </w:t>
      </w:r>
      <w:r>
        <w:rPr>
          <w:rFonts w:hint="eastAsia" w:ascii="方正仿宋简体" w:eastAsia="方正仿宋简体"/>
          <w:b/>
          <w:color w:val="000000"/>
          <w:sz w:val="30"/>
          <w:szCs w:val="30"/>
          <w:lang w:val="en-US" w:eastAsia="zh-CN"/>
        </w:rPr>
        <w:t xml:space="preserve">  </w:t>
      </w:r>
      <w:r>
        <w:rPr>
          <w:rFonts w:hint="eastAsia" w:ascii="方正仿宋简体" w:eastAsia="方正仿宋简体"/>
          <w:b/>
          <w:color w:val="000000"/>
          <w:sz w:val="30"/>
          <w:szCs w:val="30"/>
        </w:rPr>
        <w:t xml:space="preserve"> 202</w:t>
      </w:r>
      <w:r>
        <w:rPr>
          <w:rFonts w:hint="eastAsia" w:ascii="方正仿宋简体" w:eastAsia="方正仿宋简体"/>
          <w:b/>
          <w:color w:val="000000"/>
          <w:sz w:val="30"/>
          <w:szCs w:val="30"/>
          <w:lang w:val="en-US" w:eastAsia="zh-CN"/>
        </w:rPr>
        <w:t>2</w:t>
      </w:r>
      <w:r>
        <w:rPr>
          <w:rFonts w:hint="eastAsia" w:ascii="方正仿宋简体" w:eastAsia="方正仿宋简体"/>
          <w:b/>
          <w:color w:val="000000"/>
          <w:sz w:val="30"/>
          <w:szCs w:val="30"/>
        </w:rPr>
        <w:t>年</w:t>
      </w:r>
      <w:r>
        <w:rPr>
          <w:rFonts w:hint="eastAsia" w:ascii="方正仿宋简体" w:eastAsia="方正仿宋简体"/>
          <w:b/>
          <w:color w:val="000000"/>
          <w:sz w:val="30"/>
          <w:szCs w:val="30"/>
          <w:lang w:val="en-US" w:eastAsia="zh-CN"/>
        </w:rPr>
        <w:t>10</w:t>
      </w:r>
      <w:r>
        <w:rPr>
          <w:rFonts w:hint="eastAsia" w:ascii="方正仿宋简体" w:eastAsia="方正仿宋简体"/>
          <w:b/>
          <w:color w:val="000000"/>
          <w:sz w:val="30"/>
          <w:szCs w:val="30"/>
        </w:rPr>
        <w:t>月日印发</w:t>
      </w:r>
    </w:p>
    <w:p>
      <w:bookmarkStart w:id="0" w:name="_GoBack"/>
      <w:bookmarkEnd w:id="0"/>
    </w:p>
    <w:sectPr>
      <w:footerReference r:id="rId6" w:type="default"/>
      <w:pgSz w:w="11900" w:h="16840"/>
      <w:pgMar w:top="1440" w:right="1800" w:bottom="1440" w:left="1800" w:header="0" w:footer="0" w:gutter="0"/>
      <w:pgNumType w:fmt="numberInDash"/>
      <w:cols w:space="720" w:num="1"/>
      <w:rtlGutter w:val="0"/>
      <w:docGrid w:type="linesAndChars" w:linePitch="317" w:charSpace="-34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-398780</wp:posOffset>
              </wp:positionV>
              <wp:extent cx="1828800" cy="65913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659130"/>
                      </a:xfrm>
                      <a:prstGeom prst="rect">
                        <a:avLst/>
                      </a:prstGeom>
                      <a:noFill/>
                      <a:ln>
                        <a:noFill/>
                      </a:ln>
                    </wps:spPr>
                    <wps:txbx>
                      <w:txbxContent>
                        <w:p>
                          <w:pPr>
                            <w:pStyle w:val="3"/>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txbxContent>
                    </wps:txbx>
                    <wps:bodyPr wrap="none" lIns="0" tIns="0" rIns="0" bIns="0" upright="0"/>
                  </wps:wsp>
                </a:graphicData>
              </a:graphic>
            </wp:anchor>
          </w:drawing>
        </mc:Choice>
        <mc:Fallback>
          <w:pict>
            <v:shape id="_x0000_s1026" o:spid="_x0000_s1026" o:spt="202" type="#_x0000_t202" style="position:absolute;left:0pt;margin-left:0pt;margin-top:-31.4pt;height:51.9pt;width:144pt;mso-position-horizontal-relative:margin;mso-wrap-style:none;z-index:251662336;mso-width-relative:page;mso-height-relative:page;" filled="f" stroked="f" coordsize="21600,21600" o:gfxdata="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4BnRtQAAAAHAQAADwAAAAAAAAABACAAAAAiAAAAZHJzL2Rvd25yZXYueG1s&#10;UEsBAhQAFAAAAAgAh07iQIXhIInDAQAAfgMAAA4AAAAAAAAAAQAgAAAAIwEAAGRycy9lMm9Eb2Mu&#10;eG1sUEsFBgAAAAAGAAYAWQEAAFgFAAAAAA==&#10;">
              <v:path/>
              <v:fill on="f" focussize="0,0"/>
              <v:stroke on="f"/>
              <v:imagedata o:title=""/>
              <o:lock v:ext="edit" aspectratio="f"/>
              <v:textbox inset="0mm,0mm,0mm,0mm">
                <w:txbxContent>
                  <w:p>
                    <w:pPr>
                      <w:pStyle w:val="3"/>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posOffset>8569960</wp:posOffset>
              </wp:positionH>
              <wp:positionV relativeFrom="paragraph">
                <wp:posOffset>-399415</wp:posOffset>
              </wp:positionV>
              <wp:extent cx="464185" cy="6597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64185" cy="659765"/>
                      </a:xfrm>
                      <a:prstGeom prst="rect">
                        <a:avLst/>
                      </a:prstGeom>
                      <a:noFill/>
                      <a:ln>
                        <a:noFill/>
                      </a:ln>
                    </wps:spPr>
                    <wps:txbx>
                      <w:txbxContent>
                        <w:p>
                          <w:pPr>
                            <w:pStyle w:val="3"/>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left:674.8pt;margin-top:-31.45pt;height:51.95pt;width:36.55pt;mso-position-horizontal-relative:margin;z-index:251661312;mso-width-relative:page;mso-height-relative:page;" filled="f" stroked="f" coordsize="21600,21600" o:gfxdata="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FDW2TaAAAADAEAAA8AAAAAAAAAAQAgAAAAIgAAAGRycy9kb3ducmV2LnhtbFBL&#10;AQIUABQAAAAIAIdO4kBCN23AuwEAAHEDAAAOAAAAAAAAAAEAIAAAACkBAABkcnMvZTJvRG9jLnht&#10;bFBLBQYAAAAABgAGAFkBAABWBQAAAAA=&#10;">
              <v:path/>
              <v:fill on="f" focussize="0,0"/>
              <v:stroke on="f"/>
              <v:imagedata o:title=""/>
              <o:lock v:ext="edit" aspectratio="f"/>
              <v:textbox inset="0mm,0mm,0mm,0mm">
                <w:txbxContent>
                  <w:p>
                    <w:pPr>
                      <w:pStyle w:val="3"/>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- 16 -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ZDdiYmU1OWFhOTc3MjExOWNjZGQ1NDJmMThhYjgifQ=="/>
  </w:docVars>
  <w:rsids>
    <w:rsidRoot w:val="5FD620D3"/>
    <w:rsid w:val="5FD62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Body Text First Indent 21"/>
    <w:basedOn w:val="7"/>
    <w:unhideWhenUsed/>
    <w:qFormat/>
    <w:uiPriority w:val="99"/>
    <w:pPr>
      <w:ind w:left="0" w:firstLine="420"/>
    </w:pPr>
    <w:rPr>
      <w:rFonts w:eastAsia="Times New Roman"/>
      <w:sz w:val="32"/>
      <w:szCs w:val="32"/>
    </w:rPr>
  </w:style>
  <w:style w:type="paragraph" w:customStyle="1" w:styleId="7">
    <w:name w:val="Body Text Indent1"/>
    <w:basedOn w:val="1"/>
    <w:unhideWhenUsed/>
    <w:qFormat/>
    <w:uiPriority w:val="99"/>
    <w:pPr>
      <w:ind w:left="420" w:leftChars="200"/>
    </w:p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2022-12-20T09:39:00Z</dcterms:created>
  <dc:creator>念.</dc:creator>
  <cp:lastModifiedBy>念.</cp:lastModifiedBy>
  <dcterms:modified xsi:type="dcterms:W3CDTF">2022-12-20T09:39:46Z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40AE31A0C38E4E72B5DD9D0A7B817362</vt:lpwstr>
  </property>
</Properties>
</file>