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outlineLvl w:val="0"/>
        <w:rPr>
          <w:rFonts w:hint="eastAsia" w:ascii="方正小标宋简体" w:eastAsia="方正小标宋简体"/>
          <w:b/>
          <w:color w:val="000000" w:themeColor="text1"/>
          <w:sz w:val="44"/>
          <w:szCs w:val="44"/>
          <w14:textFill>
            <w14:solidFill>
              <w14:schemeClr w14:val="tx1"/>
            </w14:solidFill>
          </w14:textFill>
        </w:rPr>
      </w:pPr>
    </w:p>
    <w:p>
      <w:pPr>
        <w:spacing w:line="590" w:lineRule="exact"/>
        <w:ind w:right="-96"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themeColor="text1"/>
          <w:sz w:val="44"/>
          <w:szCs w:val="44"/>
          <w14:textFill>
            <w14:solidFill>
              <w14:schemeClr w14:val="tx1"/>
            </w14:solidFill>
          </w14:textFill>
        </w:rPr>
        <w:t>济宁北湖省级旅游度假区交通运输和港航局</w:t>
      </w:r>
      <w:r>
        <w:rPr>
          <w:rFonts w:hint="eastAsia" w:ascii="方正小标宋简体" w:eastAsia="方正小标宋简体"/>
          <w:b/>
          <w:color w:val="000000"/>
          <w:sz w:val="44"/>
          <w:szCs w:val="44"/>
        </w:rPr>
        <w:t>2022年政府信息公开工作年度报告</w:t>
      </w:r>
    </w:p>
    <w:p>
      <w:pPr>
        <w:spacing w:line="590" w:lineRule="exact"/>
        <w:ind w:right="-96" w:rightChars="-50" w:firstLine="624" w:firstLineChars="200"/>
        <w:rPr>
          <w:rFonts w:ascii="方正仿宋简体" w:eastAsia="方正仿宋简体"/>
          <w:b/>
          <w:color w:val="000000"/>
          <w:sz w:val="32"/>
          <w:szCs w:val="32"/>
        </w:rPr>
      </w:pPr>
    </w:p>
    <w:p>
      <w:pPr>
        <w:spacing w:line="590" w:lineRule="exact"/>
        <w:ind w:right="-96" w:rightChars="-50" w:firstLine="624"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本报告由济宁北湖省级旅游度假区交通运输和港航局按照《中华人民共和国政府信息公开条例》（以下简称《条例》）和《中华人民共和国政府信息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本报告所列数据的统计期限自2022年1月1日起至2022年12月31日止。本报告电子版可在“中国·济宁”政府门户网站</w:t>
      </w:r>
      <w:r>
        <w:rPr>
          <w:rFonts w:hint="eastAsia" w:ascii="方正仿宋简体" w:eastAsia="方正仿宋简体"/>
          <w:b/>
          <w:color w:val="000000"/>
          <w:sz w:val="32"/>
          <w:szCs w:val="32"/>
          <w:lang w:eastAsia="zh-CN"/>
        </w:rPr>
        <w:t>（http://bhdjq.jining.gov.cn/）</w:t>
      </w:r>
      <w:r>
        <w:rPr>
          <w:rFonts w:hint="eastAsia" w:ascii="方正仿宋简体" w:eastAsia="方正仿宋简体"/>
          <w:b/>
          <w:color w:val="000000"/>
          <w:sz w:val="32"/>
          <w:szCs w:val="32"/>
        </w:rPr>
        <w:t>查阅或下载。如对本报告有疑问，请与济宁北湖省级旅游度假区交通运输和港航局联系（地址：</w:t>
      </w:r>
      <w:r>
        <w:rPr>
          <w:rFonts w:hint="eastAsia" w:ascii="方正仿宋简体" w:eastAsia="方正仿宋简体"/>
          <w:b/>
          <w:color w:val="000000"/>
          <w:sz w:val="32"/>
          <w:szCs w:val="32"/>
          <w:lang w:eastAsia="zh-CN"/>
        </w:rPr>
        <w:t>山东省济宁市许庄街道新城发展大厦</w:t>
      </w:r>
      <w:r>
        <w:rPr>
          <w:rFonts w:hint="eastAsia" w:ascii="方正仿宋简体" w:eastAsia="方正仿宋简体"/>
          <w:b/>
          <w:color w:val="000000"/>
          <w:sz w:val="32"/>
          <w:szCs w:val="32"/>
          <w:lang w:val="en-US" w:eastAsia="zh-CN"/>
        </w:rPr>
        <w:t>A座12楼</w:t>
      </w:r>
      <w:r>
        <w:rPr>
          <w:rFonts w:hint="eastAsia" w:ascii="方正仿宋简体" w:eastAsia="方正仿宋简体"/>
          <w:b/>
          <w:color w:val="000000"/>
          <w:sz w:val="32"/>
          <w:szCs w:val="32"/>
        </w:rPr>
        <w:t>，联系电话：0537—</w:t>
      </w:r>
      <w:r>
        <w:rPr>
          <w:rFonts w:hint="eastAsia" w:ascii="方正仿宋简体" w:eastAsia="方正仿宋简体"/>
          <w:b/>
          <w:color w:val="000000"/>
          <w:sz w:val="32"/>
          <w:szCs w:val="32"/>
          <w:lang w:val="en-US" w:eastAsia="zh-CN"/>
        </w:rPr>
        <w:t>6537107</w:t>
      </w:r>
      <w:r>
        <w:rPr>
          <w:rFonts w:hint="eastAsia" w:ascii="方正仿宋简体" w:eastAsia="方正仿宋简体"/>
          <w:b/>
          <w:color w:val="000000"/>
          <w:sz w:val="32"/>
          <w:szCs w:val="32"/>
        </w:rPr>
        <w:t>）。</w:t>
      </w:r>
    </w:p>
    <w:p>
      <w:pPr>
        <w:spacing w:line="590" w:lineRule="exact"/>
        <w:ind w:right="-96" w:rightChars="-50" w:firstLine="624"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napToGrid w:val="0"/>
        <w:spacing w:line="640" w:lineRule="exact"/>
        <w:ind w:right="-96" w:rightChars="-50" w:firstLine="624"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2022年，区</w:t>
      </w:r>
      <w:r>
        <w:rPr>
          <w:rFonts w:hint="eastAsia" w:ascii="方正仿宋简体" w:hAnsi="方正仿宋简体" w:eastAsia="方正仿宋简体" w:cs="方正仿宋简体"/>
          <w:b/>
          <w:color w:val="000000" w:themeColor="text1"/>
          <w:sz w:val="32"/>
          <w:szCs w:val="32"/>
          <w:lang w:eastAsia="zh-CN"/>
          <w14:textFill>
            <w14:solidFill>
              <w14:schemeClr w14:val="tx1"/>
            </w14:solidFill>
          </w14:textFill>
        </w:rPr>
        <w:t>交通运输和港航局</w:t>
      </w:r>
      <w:r>
        <w:rPr>
          <w:rFonts w:hint="eastAsia" w:ascii="方正仿宋简体" w:hAnsi="方正仿宋简体" w:eastAsia="方正仿宋简体" w:cs="方正仿宋简体"/>
          <w:b/>
          <w:color w:val="000000" w:themeColor="text1"/>
          <w:sz w:val="32"/>
          <w:szCs w:val="32"/>
          <w14:textFill>
            <w14:solidFill>
              <w14:schemeClr w14:val="tx1"/>
            </w14:solidFill>
          </w14:textFill>
        </w:rPr>
        <w:t>认真贯彻落实《条例》和省市区有关政府信息公开工作要求，紧扣2022年度</w:t>
      </w:r>
      <w:r>
        <w:rPr>
          <w:rFonts w:hint="eastAsia" w:ascii="方正仿宋简体" w:hAnsi="方正仿宋简体" w:eastAsia="方正仿宋简体" w:cs="方正仿宋简体"/>
          <w:b/>
          <w:color w:val="000000" w:themeColor="text1"/>
          <w:sz w:val="32"/>
          <w:szCs w:val="32"/>
          <w:lang w:eastAsia="zh-CN"/>
          <w14:textFill>
            <w14:solidFill>
              <w14:schemeClr w14:val="tx1"/>
            </w14:solidFill>
          </w14:textFill>
        </w:rPr>
        <w:t>太白湖新</w:t>
      </w:r>
      <w:r>
        <w:rPr>
          <w:rFonts w:hint="eastAsia" w:ascii="方正仿宋简体" w:hAnsi="方正仿宋简体" w:eastAsia="方正仿宋简体" w:cs="方正仿宋简体"/>
          <w:b/>
          <w:color w:val="000000" w:themeColor="text1"/>
          <w:sz w:val="32"/>
          <w:szCs w:val="32"/>
          <w14:textFill>
            <w14:solidFill>
              <w14:schemeClr w14:val="tx1"/>
            </w14:solidFill>
          </w14:textFill>
        </w:rPr>
        <w:t>区政务公开工作要点，不断夯实政府信息公开标准化规范化基础，提高工作透明度，切实增强人民群众满意度、获得感。</w:t>
      </w:r>
    </w:p>
    <w:p>
      <w:pPr>
        <w:snapToGrid w:val="0"/>
        <w:spacing w:line="640" w:lineRule="exact"/>
        <w:ind w:right="-96" w:rightChars="-50" w:firstLine="624" w:firstLineChars="200"/>
        <w:rPr>
          <w:rFonts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自202</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b/>
          <w:color w:val="000000" w:themeColor="text1"/>
          <w:sz w:val="32"/>
          <w:szCs w:val="32"/>
          <w14:textFill>
            <w14:solidFill>
              <w14:schemeClr w14:val="tx1"/>
            </w14:solidFill>
          </w14:textFill>
        </w:rPr>
        <w:t>年1月1日至12月31日止，我局主动公开政务信息</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28</w:t>
      </w:r>
      <w:r>
        <w:rPr>
          <w:rFonts w:hint="eastAsia" w:ascii="方正仿宋简体" w:hAnsi="方正仿宋简体" w:eastAsia="方正仿宋简体" w:cs="方正仿宋简体"/>
          <w:b/>
          <w:color w:val="000000" w:themeColor="text1"/>
          <w:sz w:val="32"/>
          <w:szCs w:val="32"/>
          <w14:textFill>
            <w14:solidFill>
              <w14:schemeClr w14:val="tx1"/>
            </w14:solidFill>
          </w14:textFill>
        </w:rPr>
        <w:t>条，无申请公开政府信息、无因政府信息公开申请行政复议、提起行政诉讼的情况。</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napToGrid w:val="0"/>
        <w:spacing w:line="640" w:lineRule="exact"/>
        <w:ind w:right="-96" w:rightChars="-50" w:firstLine="624"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通过新区政府门户网主动公开政府信息，202</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b/>
          <w:color w:val="000000" w:themeColor="text1"/>
          <w:sz w:val="32"/>
          <w:szCs w:val="32"/>
          <w14:textFill>
            <w14:solidFill>
              <w14:schemeClr w14:val="tx1"/>
            </w14:solidFill>
          </w14:textFill>
        </w:rPr>
        <w:t>年我局公布信息共</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28</w:t>
      </w:r>
      <w:r>
        <w:rPr>
          <w:rFonts w:hint="eastAsia" w:ascii="方正仿宋简体" w:hAnsi="方正仿宋简体" w:eastAsia="方正仿宋简体" w:cs="方正仿宋简体"/>
          <w:b/>
          <w:color w:val="000000" w:themeColor="text1"/>
          <w:sz w:val="32"/>
          <w:szCs w:val="32"/>
          <w14:textFill>
            <w14:solidFill>
              <w14:schemeClr w14:val="tx1"/>
            </w14:solidFill>
          </w14:textFill>
        </w:rPr>
        <w:t>条。</w:t>
      </w:r>
    </w:p>
    <w:p>
      <w:pPr>
        <w:pStyle w:val="2"/>
      </w:pPr>
      <w:r>
        <w:rPr>
          <w:rFonts w:hint="eastAsia" w:eastAsia="方正仿宋简体"/>
          <w:lang w:eastAsia="zh-CN"/>
        </w:rPr>
        <w:drawing>
          <wp:inline distT="0" distB="0" distL="114300" distR="114300">
            <wp:extent cx="5820410" cy="5175250"/>
            <wp:effectExtent l="4445" t="4445" r="23495" b="209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napToGrid w:val="0"/>
        <w:spacing w:line="640" w:lineRule="exact"/>
        <w:ind w:right="-96" w:rightChars="-50" w:firstLine="624" w:firstLineChars="200"/>
        <w:rPr>
          <w:rFonts w:ascii="方正仿宋简体" w:hAnsi="方正仿宋简体" w:eastAsia="方正仿宋简体" w:cs="方正仿宋简体"/>
          <w:b/>
          <w:color w:val="000000" w:themeColor="text1"/>
          <w:sz w:val="32"/>
          <w:szCs w:val="32"/>
          <w14:textFill>
            <w14:solidFill>
              <w14:schemeClr w14:val="tx1"/>
            </w14:solidFill>
          </w14:textFill>
        </w:rPr>
      </w:pPr>
      <w:r>
        <w:rPr>
          <w:rFonts w:ascii="方正仿宋简体" w:hAnsi="方正仿宋简体" w:eastAsia="方正仿宋简体" w:cs="方正仿宋简体"/>
          <w:b/>
          <w:color w:val="000000" w:themeColor="text1"/>
          <w:sz w:val="32"/>
          <w:szCs w:val="32"/>
          <w14:textFill>
            <w14:solidFill>
              <w14:schemeClr w14:val="tx1"/>
            </w14:solidFill>
          </w14:textFill>
        </w:rPr>
        <w:t>本着</w:t>
      </w:r>
      <w:r>
        <w:rPr>
          <w:rFonts w:hint="eastAsia" w:ascii="方正仿宋简体" w:hAnsi="方正仿宋简体" w:eastAsia="方正仿宋简体" w:cs="方正仿宋简体"/>
          <w:b/>
          <w:color w:val="000000" w:themeColor="text1"/>
          <w:sz w:val="32"/>
          <w:szCs w:val="32"/>
          <w14:textFill>
            <w14:solidFill>
              <w14:schemeClr w14:val="tx1"/>
            </w14:solidFill>
          </w14:textFill>
        </w:rPr>
        <w:t>优化信息公开申请工作流程，畅通受理渠道，提升依申请公开办理水平。针对复杂疑难的信息公开申请，加强部门协作研究，防范法律风险。202</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2</w:t>
      </w:r>
      <w:r>
        <w:rPr>
          <w:rFonts w:ascii="方正仿宋简体" w:hAnsi="方正仿宋简体" w:eastAsia="方正仿宋简体" w:cs="方正仿宋简体"/>
          <w:b/>
          <w:color w:val="000000" w:themeColor="text1"/>
          <w:sz w:val="32"/>
          <w:szCs w:val="32"/>
          <w14:textFill>
            <w14:solidFill>
              <w14:schemeClr w14:val="tx1"/>
            </w14:solidFill>
          </w14:textFill>
        </w:rPr>
        <w:t>年，我局</w:t>
      </w:r>
      <w:r>
        <w:rPr>
          <w:rFonts w:hint="eastAsia" w:ascii="方正仿宋简体" w:hAnsi="方正仿宋简体" w:eastAsia="方正仿宋简体" w:cs="方正仿宋简体"/>
          <w:b/>
          <w:color w:val="000000" w:themeColor="text1"/>
          <w:sz w:val="32"/>
          <w:szCs w:val="32"/>
          <w14:textFill>
            <w14:solidFill>
              <w14:schemeClr w14:val="tx1"/>
            </w14:solidFill>
          </w14:textFill>
        </w:rPr>
        <w:t>未</w:t>
      </w:r>
      <w:r>
        <w:rPr>
          <w:rFonts w:ascii="方正仿宋简体" w:hAnsi="方正仿宋简体" w:eastAsia="方正仿宋简体" w:cs="方正仿宋简体"/>
          <w:b/>
          <w:color w:val="000000" w:themeColor="text1"/>
          <w:sz w:val="32"/>
          <w:szCs w:val="32"/>
          <w14:textFill>
            <w14:solidFill>
              <w14:schemeClr w14:val="tx1"/>
            </w14:solidFill>
          </w14:textFill>
        </w:rPr>
        <w:t>收到政府信息公开申请。</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96" w:rightChars="-50" w:firstLine="624"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一是加强组织领导，强化责任分工。二是创新公开载体，提升服务水平。三是优化工作流程，突出工作亮点。</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napToGrid w:val="0"/>
        <w:spacing w:line="640" w:lineRule="exact"/>
        <w:ind w:right="-96" w:rightChars="-50" w:firstLine="624"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不定期组织召开政务信息工作会议，邀请专业人员领学讲解新修订的《条例》，要求机关各业务站所人员要开展学习培训，切实增强公开意识和能力，负责政务公开工作人员要自主学、反复学，确保准确理解掌握新条例相关规定，以新条例为根本依据做好信息公开工作。</w:t>
      </w:r>
    </w:p>
    <w:p>
      <w:pPr>
        <w:snapToGrid w:val="0"/>
        <w:spacing w:line="640" w:lineRule="exact"/>
        <w:ind w:right="-96" w:rightChars="-50" w:firstLine="624" w:firstLineChars="200"/>
        <w:rPr>
          <w:rFonts w:ascii="方正楷体简体" w:hAnsi="方正楷体简体" w:eastAsia="方正楷体简体" w:cs="方正楷体简体"/>
          <w:b/>
          <w:color w:val="000000" w:themeColor="text1"/>
          <w:sz w:val="32"/>
          <w:szCs w:val="32"/>
          <w14:textFill>
            <w14:solidFill>
              <w14:schemeClr w14:val="tx1"/>
            </w14:solidFill>
          </w14:textFill>
        </w:rPr>
      </w:pPr>
      <w:r>
        <w:rPr>
          <w:rFonts w:hint="eastAsia" w:ascii="方正楷体简体" w:hAnsi="方正楷体简体" w:eastAsia="方正楷体简体" w:cs="方正楷体简体"/>
          <w:b/>
          <w:color w:val="000000" w:themeColor="text1"/>
          <w:sz w:val="32"/>
          <w:szCs w:val="32"/>
          <w14:textFill>
            <w14:solidFill>
              <w14:schemeClr w14:val="tx1"/>
            </w14:solidFill>
          </w14:textFill>
        </w:rPr>
        <w:t>（五）监督保障情况</w:t>
      </w:r>
    </w:p>
    <w:p>
      <w:pPr>
        <w:spacing w:line="590" w:lineRule="exact"/>
        <w:ind w:right="-96" w:rightChars="-50" w:firstLine="624"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完善政务公开审核制度，严格对照信息发布流程，对发布信息实行主要领导审核制度，确保发布信息准确实用性。</w:t>
      </w:r>
    </w:p>
    <w:p>
      <w:pPr>
        <w:spacing w:line="590" w:lineRule="exact"/>
        <w:ind w:right="-96" w:rightChars="-50" w:firstLine="624" w:firstLineChars="200"/>
        <w:rPr>
          <w:rFonts w:ascii="方正黑体简体" w:eastAsia="方正黑体简体"/>
          <w:b/>
          <w:color w:val="000000"/>
          <w:sz w:val="32"/>
          <w:szCs w:val="32"/>
        </w:rPr>
      </w:pPr>
      <w:bookmarkStart w:id="0" w:name="_GoBack"/>
      <w:bookmarkEnd w:id="0"/>
      <w:r>
        <w:rPr>
          <w:rFonts w:hint="eastAsia" w:ascii="方正黑体简体" w:eastAsia="方正黑体简体"/>
          <w:b/>
          <w:color w:val="000000"/>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left"/>
              <w:rPr>
                <w:rFonts w:hint="default" w:ascii="方正仿宋简体" w:eastAsia="方正仿宋简体"/>
                <w:b/>
                <w:sz w:val="24"/>
                <w:lang w:val="en-US" w:eastAsia="zh-CN"/>
              </w:rPr>
            </w:pPr>
            <w:r>
              <w:rPr>
                <w:rFonts w:hint="eastAsia" w:ascii="方正仿宋简体" w:eastAsia="方正仿宋简体"/>
                <w:b/>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tcMar>
              <w:left w:w="57" w:type="dxa"/>
              <w:right w:w="57" w:type="dxa"/>
            </w:tcMar>
            <w:vAlign w:val="center"/>
          </w:tcPr>
          <w:p>
            <w:pPr>
              <w:spacing w:line="340" w:lineRule="exact"/>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top"/>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top"/>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top"/>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top"/>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top"/>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top"/>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top"/>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top"/>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top"/>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0"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8"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7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9"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21" w:type="dxa"/>
            <w:tcMar>
              <w:left w:w="57" w:type="dxa"/>
              <w:right w:w="57" w:type="dxa"/>
            </w:tcMar>
            <w:vAlign w:val="center"/>
          </w:tcPr>
          <w:p>
            <w:pPr>
              <w:widowControl/>
              <w:snapToGrid w:val="0"/>
              <w:jc w:val="center"/>
              <w:rPr>
                <w:rFonts w:ascii="方正仿宋简体" w:eastAsia="方正仿宋简体"/>
                <w:b/>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tcMar>
              <w:left w:w="108" w:type="dxa"/>
              <w:right w:w="108" w:type="dxa"/>
            </w:tcMar>
            <w:vAlign w:val="center"/>
          </w:tcPr>
          <w:p>
            <w:pPr>
              <w:widowControl/>
              <w:spacing w:line="340" w:lineRule="exact"/>
              <w:ind w:left="-38" w:leftChars="-20" w:right="-38"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91"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61"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21"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00"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591"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461"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49"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49"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636"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26"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55"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07"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621"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600"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91"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461"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649"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649"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650"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636"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426"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650"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650"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650"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555"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c>
          <w:tcPr>
            <w:tcW w:w="407" w:type="dxa"/>
            <w:tcMar>
              <w:left w:w="108" w:type="dxa"/>
              <w:right w:w="108" w:type="dxa"/>
            </w:tcMar>
            <w:vAlign w:val="center"/>
          </w:tcPr>
          <w:p>
            <w:pPr>
              <w:widowControl/>
              <w:snapToGrid w:val="0"/>
              <w:jc w:val="center"/>
              <w:rPr>
                <w:rFonts w:ascii="方正黑体简体" w:eastAsia="方正黑体简体"/>
                <w:sz w:val="21"/>
                <w:szCs w:val="21"/>
              </w:rPr>
            </w:pPr>
            <w:r>
              <w:rPr>
                <w:rFonts w:hint="eastAsia" w:ascii="仿宋_GB2312" w:hAnsi="仿宋_GB2312" w:eastAsia="仿宋_GB2312" w:cs="仿宋_GB2312"/>
                <w:b/>
                <w:color w:val="000000" w:themeColor="text1"/>
                <w:sz w:val="24"/>
                <w:szCs w:val="24"/>
                <w14:textFill>
                  <w14:solidFill>
                    <w14:schemeClr w14:val="tx1"/>
                  </w14:solidFill>
                </w14:textFill>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96" w:rightChars="-50" w:firstLine="624" w:firstLineChars="200"/>
        <w:rPr>
          <w:rFonts w:hint="eastAsia" w:ascii="方正楷体简体" w:eastAsia="方正楷体简体"/>
          <w:b/>
          <w:color w:val="000000"/>
          <w:sz w:val="32"/>
          <w:szCs w:val="32"/>
          <w:lang w:val="en-US" w:eastAsia="zh-CN"/>
        </w:rPr>
      </w:pPr>
      <w:r>
        <w:rPr>
          <w:rFonts w:hint="eastAsia" w:ascii="方正楷体简体" w:eastAsia="方正楷体简体"/>
          <w:b/>
          <w:color w:val="000000"/>
          <w:sz w:val="32"/>
          <w:szCs w:val="32"/>
          <w:lang w:val="en-US" w:eastAsia="zh-CN"/>
        </w:rPr>
        <w:t>（一）存在的问题</w:t>
      </w:r>
    </w:p>
    <w:p>
      <w:pPr>
        <w:spacing w:line="590" w:lineRule="exact"/>
        <w:ind w:right="-96" w:rightChars="-50" w:firstLine="624" w:firstLineChars="200"/>
        <w:rPr>
          <w:rFonts w:hint="eastAsia" w:ascii="方正仿宋简体" w:hAnsi="Times New Roman" w:eastAsia="方正仿宋简体" w:cs="Times New Roman"/>
          <w:b/>
          <w:sz w:val="32"/>
          <w:szCs w:val="32"/>
          <w:lang w:val="en-US" w:eastAsia="zh-CN" w:bidi="ar-SA"/>
        </w:rPr>
      </w:pPr>
      <w:r>
        <w:rPr>
          <w:rFonts w:hint="eastAsia" w:ascii="方正仿宋简体" w:hAnsi="Times New Roman" w:eastAsia="方正仿宋简体" w:cs="Times New Roman"/>
          <w:b/>
          <w:sz w:val="32"/>
          <w:szCs w:val="32"/>
          <w:lang w:val="en-US" w:eastAsia="zh-CN" w:bidi="ar-SA"/>
        </w:rPr>
        <w:t>我局立足政府信息公开工作实际，狠抓落实，取得了一定成效，但是也存在一些不足。一是政府信息公开质量不高；二是政府信息公开观念滞后，认识不统一；三是经办人员工作能力与越来越严格的政府信息公开要求仍有一定差距。</w:t>
      </w:r>
    </w:p>
    <w:p>
      <w:pPr>
        <w:spacing w:line="590" w:lineRule="exact"/>
        <w:ind w:right="-96" w:rightChars="-50" w:firstLine="624" w:firstLineChars="200"/>
        <w:rPr>
          <w:rFonts w:hint="eastAsia" w:ascii="方正楷体简体" w:eastAsia="方正楷体简体"/>
          <w:b/>
          <w:color w:val="000000"/>
          <w:sz w:val="32"/>
          <w:szCs w:val="32"/>
          <w:lang w:val="en-US" w:eastAsia="zh-CN"/>
        </w:rPr>
      </w:pPr>
      <w:r>
        <w:rPr>
          <w:rFonts w:hint="eastAsia" w:ascii="方正楷体简体" w:eastAsia="方正楷体简体"/>
          <w:b/>
          <w:color w:val="000000"/>
          <w:sz w:val="32"/>
          <w:szCs w:val="32"/>
          <w:lang w:val="en-US" w:eastAsia="zh-CN"/>
        </w:rPr>
        <w:t>（二）改进措施</w:t>
      </w:r>
    </w:p>
    <w:p>
      <w:pPr>
        <w:spacing w:line="590" w:lineRule="exact"/>
        <w:ind w:right="-96" w:rightChars="-50" w:firstLine="624" w:firstLineChars="200"/>
        <w:rPr>
          <w:rFonts w:hint="eastAsia" w:ascii="方正仿宋简体" w:hAnsi="Times New Roman" w:eastAsia="方正仿宋简体" w:cs="Times New Roman"/>
          <w:b/>
          <w:sz w:val="32"/>
          <w:szCs w:val="32"/>
          <w:lang w:val="en-US" w:eastAsia="zh-CN" w:bidi="ar-SA"/>
        </w:rPr>
      </w:pPr>
      <w:r>
        <w:rPr>
          <w:rFonts w:hint="eastAsia" w:ascii="方正仿宋简体" w:hAnsi="Times New Roman" w:eastAsia="方正仿宋简体" w:cs="Times New Roman"/>
          <w:b/>
          <w:sz w:val="32"/>
          <w:szCs w:val="32"/>
          <w:lang w:val="en-US" w:eastAsia="zh-CN" w:bidi="ar-SA"/>
        </w:rPr>
        <w:t>一是认真学习中办、国办《关于全面推进政务公开工作的意见》和省、市、区工作精神，进一步完善工作机制，进一步深化政府信息公开内容，认真研究政府信息公开目录和公开指标，进一步提升信息公开实效。</w:t>
      </w:r>
    </w:p>
    <w:p>
      <w:pPr>
        <w:spacing w:line="590" w:lineRule="exact"/>
        <w:ind w:right="-96" w:rightChars="-50" w:firstLine="624" w:firstLineChars="200"/>
        <w:rPr>
          <w:rFonts w:hint="eastAsia" w:ascii="方正仿宋简体" w:hAnsi="Times New Roman" w:eastAsia="方正仿宋简体" w:cs="Times New Roman"/>
          <w:b/>
          <w:sz w:val="32"/>
          <w:szCs w:val="32"/>
          <w:lang w:val="en-US" w:eastAsia="zh-CN" w:bidi="ar-SA"/>
        </w:rPr>
      </w:pPr>
      <w:r>
        <w:rPr>
          <w:rFonts w:hint="eastAsia" w:ascii="方正仿宋简体" w:hAnsi="Times New Roman" w:eastAsia="方正仿宋简体" w:cs="Times New Roman"/>
          <w:b/>
          <w:sz w:val="32"/>
          <w:szCs w:val="32"/>
          <w:lang w:val="en-US" w:eastAsia="zh-CN" w:bidi="ar-SA"/>
        </w:rPr>
        <w:t>二是加强领导，提高认识，进一步转变观念，落实岗位职责。形成“主要领导亲自抓、分管领导具体抓、相关工作人员抓落实”的工作体系，确保政府信息公开工作的常态化、制度化和规范化。  </w:t>
      </w:r>
    </w:p>
    <w:p>
      <w:pPr>
        <w:spacing w:line="590" w:lineRule="exact"/>
        <w:ind w:right="-96" w:rightChars="-50" w:firstLine="624" w:firstLineChars="200"/>
        <w:rPr>
          <w:rFonts w:hint="eastAsia" w:ascii="方正仿宋简体" w:hAnsi="Times New Roman" w:eastAsia="方正仿宋简体" w:cs="Times New Roman"/>
          <w:b/>
          <w:sz w:val="32"/>
          <w:szCs w:val="32"/>
          <w:lang w:val="en-US" w:eastAsia="zh-CN" w:bidi="ar-SA"/>
        </w:rPr>
      </w:pPr>
      <w:r>
        <w:rPr>
          <w:rFonts w:hint="eastAsia" w:ascii="方正仿宋简体" w:hAnsi="Times New Roman" w:eastAsia="方正仿宋简体" w:cs="Times New Roman"/>
          <w:b/>
          <w:sz w:val="32"/>
          <w:szCs w:val="32"/>
          <w:lang w:val="en-US" w:eastAsia="zh-CN" w:bidi="ar-SA"/>
        </w:rPr>
        <w:t>三是进一步完善政府信息公开内容，按照“以公开为原则，不公开为例外”的总体要求，进一步做好公开和免予公开两类政府信息的界定，完善主动公开的政府信息目录。</w:t>
      </w:r>
    </w:p>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96" w:rightChars="-50" w:firstLine="624" w:firstLineChars="200"/>
        <w:rPr>
          <w:rFonts w:hint="eastAsia" w:ascii="方正楷体简体" w:eastAsia="方正楷体简体"/>
          <w:b/>
          <w:color w:val="000000"/>
          <w:sz w:val="32"/>
          <w:szCs w:val="32"/>
          <w:lang w:eastAsia="zh-CN"/>
        </w:rPr>
      </w:pPr>
      <w:r>
        <w:rPr>
          <w:rFonts w:hint="eastAsia" w:ascii="方正楷体简体" w:eastAsia="方正楷体简体"/>
          <w:b/>
          <w:color w:val="000000"/>
          <w:sz w:val="32"/>
          <w:szCs w:val="32"/>
        </w:rPr>
        <w:t>（一）依据《政府信息公开信息处理费管理办法》收取信息处理费的情况需在此专门报告</w:t>
      </w:r>
    </w:p>
    <w:p>
      <w:pPr>
        <w:pStyle w:val="2"/>
        <w:rPr>
          <w:rFonts w:hint="default"/>
          <w:lang w:val="en-US" w:eastAsia="zh-CN"/>
        </w:rPr>
      </w:pPr>
      <w:r>
        <w:rPr>
          <w:rFonts w:hint="eastAsia" w:ascii="方正仿宋简体" w:eastAsia="方正仿宋简体"/>
          <w:b/>
          <w:sz w:val="32"/>
          <w:szCs w:val="32"/>
          <w:lang w:val="en-US" w:eastAsia="zh-CN"/>
        </w:rPr>
        <w:t xml:space="preserve">    年内，我局在开展政务公开工作中，未收取任何信息处理费。</w:t>
      </w:r>
    </w:p>
    <w:p>
      <w:pPr>
        <w:spacing w:line="590" w:lineRule="exact"/>
        <w:ind w:right="-96" w:rightChars="-50" w:firstLine="624" w:firstLineChars="200"/>
        <w:rPr>
          <w:rFonts w:hint="eastAsia" w:ascii="方正楷体简体" w:eastAsia="方正楷体简体"/>
          <w:b/>
          <w:color w:val="000000"/>
          <w:sz w:val="32"/>
          <w:szCs w:val="32"/>
          <w:lang w:eastAsia="zh-CN"/>
        </w:rPr>
      </w:pPr>
      <w:r>
        <w:rPr>
          <w:rFonts w:hint="eastAsia" w:ascii="方正楷体简体" w:eastAsia="方正楷体简体"/>
          <w:b/>
          <w:color w:val="000000"/>
          <w:sz w:val="32"/>
          <w:szCs w:val="32"/>
        </w:rPr>
        <w:t>（二）上级年度政务公开工作要点情况</w:t>
      </w:r>
    </w:p>
    <w:p>
      <w:pPr>
        <w:pStyle w:val="2"/>
        <w:rPr>
          <w:rFonts w:hint="default"/>
          <w:lang w:val="en-US" w:eastAsia="zh-CN"/>
        </w:rPr>
      </w:pPr>
      <w:r>
        <w:rPr>
          <w:rFonts w:hint="eastAsia" w:ascii="方正仿宋简体" w:eastAsia="方正仿宋简体"/>
          <w:b/>
          <w:sz w:val="32"/>
          <w:szCs w:val="32"/>
          <w:lang w:val="en-US" w:eastAsia="zh-CN"/>
        </w:rPr>
        <w:t xml:space="preserve">    我局制定了《2022年济宁太白湖新区交通运输和港航局政务公开工作要点》。由分管领导牵头，各科室共同参与，进一步严格了责任分工。明确了措施要求，切实把政务公开工作当成一项重要任务来抓。工作中，积极畅通公开渠道，丰富公开形式，及时通过区管委会门户网站和政务新媒体等平台发布了各类政务信息，圆满完成工作任务。</w:t>
      </w:r>
    </w:p>
    <w:p>
      <w:pPr>
        <w:spacing w:line="590" w:lineRule="exact"/>
        <w:ind w:right="-96" w:rightChars="-50" w:firstLine="624" w:firstLineChars="200"/>
        <w:rPr>
          <w:rFonts w:hint="eastAsia" w:ascii="方正楷体简体" w:eastAsia="方正楷体简体"/>
          <w:b/>
          <w:color w:val="000000"/>
          <w:sz w:val="32"/>
          <w:szCs w:val="32"/>
          <w:lang w:eastAsia="zh-CN"/>
        </w:rPr>
      </w:pPr>
      <w:r>
        <w:rPr>
          <w:rFonts w:hint="eastAsia" w:ascii="方正楷体简体" w:eastAsia="方正楷体简体"/>
          <w:b/>
          <w:color w:val="000000"/>
          <w:sz w:val="32"/>
          <w:szCs w:val="32"/>
        </w:rPr>
        <w:t>（三）人大代表建议和政协提案办理结果公开情况</w:t>
      </w:r>
    </w:p>
    <w:p>
      <w:pPr>
        <w:spacing w:line="590" w:lineRule="exact"/>
        <w:ind w:right="-96" w:rightChars="-50" w:firstLine="604" w:firstLineChars="200"/>
        <w:rPr>
          <w:rStyle w:val="7"/>
          <w:rFonts w:hint="eastAsia" w:ascii="方正仿宋简体" w:hAnsi="方正仿宋简体" w:eastAsia="方正仿宋简体" w:cs="方正仿宋简体"/>
          <w:i w:val="0"/>
          <w:iCs w:val="0"/>
          <w:caps w:val="0"/>
          <w:color w:val="000000"/>
          <w:spacing w:val="0"/>
          <w:sz w:val="31"/>
          <w:szCs w:val="31"/>
        </w:rPr>
      </w:pPr>
      <w:r>
        <w:rPr>
          <w:rStyle w:val="7"/>
          <w:rFonts w:ascii="方正仿宋简体" w:hAnsi="方正仿宋简体" w:eastAsia="方正仿宋简体" w:cs="方正仿宋简体"/>
          <w:i w:val="0"/>
          <w:iCs w:val="0"/>
          <w:caps w:val="0"/>
          <w:color w:val="000000"/>
          <w:spacing w:val="0"/>
          <w:sz w:val="31"/>
          <w:szCs w:val="31"/>
        </w:rPr>
        <w:t>年内，我局未收到</w:t>
      </w:r>
      <w:r>
        <w:rPr>
          <w:rStyle w:val="7"/>
          <w:rFonts w:hint="eastAsia" w:ascii="方正仿宋简体" w:hAnsi="方正仿宋简体" w:eastAsia="方正仿宋简体" w:cs="方正仿宋简体"/>
          <w:i w:val="0"/>
          <w:iCs w:val="0"/>
          <w:caps w:val="0"/>
          <w:color w:val="000000"/>
          <w:spacing w:val="-15"/>
          <w:sz w:val="31"/>
          <w:szCs w:val="31"/>
        </w:rPr>
        <w:t>人大代表建议和政协提案</w:t>
      </w:r>
      <w:r>
        <w:rPr>
          <w:rStyle w:val="7"/>
          <w:rFonts w:hint="eastAsia" w:ascii="方正仿宋简体" w:hAnsi="方正仿宋简体" w:eastAsia="方正仿宋简体" w:cs="方正仿宋简体"/>
          <w:i w:val="0"/>
          <w:iCs w:val="0"/>
          <w:caps w:val="0"/>
          <w:color w:val="000000"/>
          <w:spacing w:val="0"/>
          <w:sz w:val="31"/>
          <w:szCs w:val="31"/>
        </w:rPr>
        <w:t>。</w:t>
      </w:r>
    </w:p>
    <w:p>
      <w:pPr>
        <w:spacing w:line="590" w:lineRule="exact"/>
        <w:ind w:right="-96" w:rightChars="-50" w:firstLine="624" w:firstLineChars="200"/>
        <w:rPr>
          <w:rFonts w:hint="eastAsia" w:ascii="方正楷体简体" w:eastAsia="方正楷体简体"/>
          <w:b/>
          <w:color w:val="000000"/>
          <w:sz w:val="32"/>
          <w:szCs w:val="32"/>
          <w:lang w:eastAsia="zh-CN"/>
        </w:rPr>
      </w:pPr>
      <w:r>
        <w:rPr>
          <w:rFonts w:hint="eastAsia" w:ascii="方正楷体简体" w:eastAsia="方正楷体简体"/>
          <w:b/>
          <w:color w:val="000000"/>
          <w:sz w:val="32"/>
          <w:szCs w:val="32"/>
        </w:rPr>
        <w:t>（四）政务公开工作创新情况</w:t>
      </w:r>
    </w:p>
    <w:p>
      <w:pPr>
        <w:pStyle w:val="2"/>
        <w:ind w:firstLine="624"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2022年，我局进一步规范了依申请公开工作。一是完善了依申请公开工作制度，基本形成协调互动、齐抓共管的工作机制。二是建立健全了申请渠道，专人做好依申请公开的接收，登记，</w:t>
      </w:r>
    </w:p>
    <w:p>
      <w:pPr>
        <w:pStyle w:val="2"/>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办理，调查，答复等各个环节的工作。</w:t>
      </w:r>
    </w:p>
    <w:p>
      <w:pPr>
        <w:spacing w:line="590" w:lineRule="exact"/>
        <w:ind w:right="-96" w:rightChars="-50" w:firstLine="624"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lang w:eastAsia="zh-CN"/>
        </w:rPr>
        <w:t>（五）</w:t>
      </w:r>
      <w:r>
        <w:rPr>
          <w:rFonts w:hint="eastAsia" w:ascii="方正楷体简体" w:eastAsia="方正楷体简体"/>
          <w:b/>
          <w:color w:val="000000"/>
          <w:sz w:val="32"/>
          <w:szCs w:val="32"/>
        </w:rPr>
        <w:t>本行政机关政府信息公开工作年度报告数据统计需要说明的事项</w:t>
      </w:r>
    </w:p>
    <w:p>
      <w:pPr>
        <w:pStyle w:val="2"/>
        <w:rPr>
          <w:rFonts w:hint="default" w:ascii="方正仿宋简体" w:hAnsi="文星仿宋" w:eastAsia="方正仿宋简体" w:cs="方正仿宋简体"/>
          <w:b/>
          <w:color w:val="000000"/>
          <w:sz w:val="32"/>
          <w:szCs w:val="32"/>
          <w:lang w:val="en-US" w:eastAsia="zh-CN" w:bidi="ar-SA"/>
        </w:rPr>
      </w:pPr>
      <w:r>
        <w:rPr>
          <w:rFonts w:hint="eastAsia" w:ascii="方正仿宋简体" w:hAnsi="文星仿宋" w:eastAsia="方正仿宋简体" w:cs="方正仿宋简体"/>
          <w:b/>
          <w:color w:val="000000"/>
          <w:sz w:val="32"/>
          <w:szCs w:val="32"/>
          <w:lang w:val="en-US" w:eastAsia="zh-CN"/>
        </w:rPr>
        <w:t xml:space="preserve"> </w:t>
      </w:r>
      <w:r>
        <w:rPr>
          <w:rFonts w:hint="eastAsia" w:ascii="方正仿宋简体" w:hAnsi="文星仿宋" w:eastAsia="方正仿宋简体" w:cs="方正仿宋简体"/>
          <w:b/>
          <w:color w:val="000000"/>
          <w:sz w:val="32"/>
          <w:szCs w:val="32"/>
          <w:lang w:val="en-US" w:eastAsia="zh-CN" w:bidi="ar-SA"/>
        </w:rPr>
        <w:t xml:space="preserve">   无。</w:t>
      </w:r>
    </w:p>
    <w:p>
      <w:pPr>
        <w:spacing w:line="590" w:lineRule="exact"/>
        <w:ind w:right="-96" w:rightChars="-50" w:firstLine="624" w:firstLineChars="200"/>
        <w:rPr>
          <w:rFonts w:hint="eastAsia" w:ascii="方正楷体简体" w:eastAsia="方正楷体简体"/>
          <w:b/>
          <w:color w:val="000000"/>
          <w:sz w:val="32"/>
          <w:szCs w:val="32"/>
          <w:lang w:val="en-US" w:eastAsia="zh-CN"/>
        </w:rPr>
      </w:pPr>
      <w:r>
        <w:rPr>
          <w:rFonts w:hint="eastAsia" w:ascii="方正楷体简体" w:eastAsia="方正楷体简体"/>
          <w:b/>
          <w:color w:val="000000"/>
          <w:sz w:val="32"/>
          <w:szCs w:val="32"/>
          <w:lang w:val="en-US" w:eastAsia="zh-CN"/>
        </w:rPr>
        <w:t>（六）本行政机关认为需要报告的其他事项</w:t>
      </w:r>
    </w:p>
    <w:p>
      <w:pPr>
        <w:pStyle w:val="2"/>
        <w:rPr>
          <w:rFonts w:hint="default" w:ascii="方正仿宋简体" w:hAnsi="文星仿宋" w:eastAsia="方正仿宋简体" w:cs="方正仿宋简体"/>
          <w:b/>
          <w:color w:val="000000"/>
          <w:sz w:val="32"/>
          <w:szCs w:val="32"/>
          <w:lang w:val="en-US" w:eastAsia="zh-CN" w:bidi="ar-SA"/>
        </w:rPr>
      </w:pPr>
      <w:r>
        <w:rPr>
          <w:rFonts w:hint="eastAsia" w:ascii="方正仿宋简体" w:hAnsi="文星仿宋" w:eastAsia="方正仿宋简体" w:cs="方正仿宋简体"/>
          <w:b/>
          <w:color w:val="000000"/>
          <w:sz w:val="32"/>
          <w:szCs w:val="32"/>
          <w:lang w:val="en-US" w:eastAsia="zh-CN" w:bidi="ar-SA"/>
        </w:rPr>
        <w:t xml:space="preserve">    受疫情影响，我局行政处罚数量较去年有较大减少。</w:t>
      </w:r>
    </w:p>
    <w:p>
      <w:pPr>
        <w:spacing w:line="590" w:lineRule="exact"/>
        <w:ind w:right="-96" w:rightChars="-50" w:firstLine="624"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lang w:eastAsia="zh-CN"/>
        </w:rPr>
        <w:t>（七）</w:t>
      </w:r>
      <w:r>
        <w:rPr>
          <w:rFonts w:hint="eastAsia" w:ascii="方正楷体简体" w:eastAsia="方正楷体简体"/>
          <w:b/>
          <w:color w:val="000000"/>
          <w:sz w:val="32"/>
          <w:szCs w:val="32"/>
        </w:rPr>
        <w:t>其他有关文件专门要求通过政府信息公开工作年度报告予以报告的事项</w:t>
      </w:r>
    </w:p>
    <w:p>
      <w:pPr>
        <w:pStyle w:val="2"/>
      </w:pPr>
      <w:r>
        <w:rPr>
          <w:rFonts w:hint="eastAsia" w:ascii="方正仿宋简体" w:hAnsi="文星仿宋" w:eastAsia="方正仿宋简体" w:cs="方正仿宋简体"/>
          <w:b/>
          <w:color w:val="000000"/>
          <w:sz w:val="32"/>
          <w:szCs w:val="32"/>
          <w:lang w:val="en-US" w:eastAsia="zh-CN"/>
        </w:rPr>
        <w:t xml:space="preserve">    无。</w:t>
      </w:r>
    </w:p>
    <w:sectPr>
      <w:footerReference r:id="rId3" w:type="default"/>
      <w:footerReference r:id="rId4" w:type="even"/>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283" w:usb1="180F0C1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Arial Unicode MS"/>
    <w:panose1 w:val="00000000000000000000"/>
    <w:charset w:val="86"/>
    <w:family w:val="auto"/>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3"/>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YzBjYWY5OWM2ODhhOWY0NzViNjA3MGNhZmJhMjcifQ=="/>
  </w:docVars>
  <w:rsids>
    <w:rsidRoot w:val="16B23214"/>
    <w:rsid w:val="01630560"/>
    <w:rsid w:val="0AFA3062"/>
    <w:rsid w:val="124C29AC"/>
    <w:rsid w:val="16B23214"/>
    <w:rsid w:val="1D3E7D3E"/>
    <w:rsid w:val="1EDE46B6"/>
    <w:rsid w:val="388F4FDA"/>
    <w:rsid w:val="44556954"/>
    <w:rsid w:val="488B4BB4"/>
    <w:rsid w:val="57537FCE"/>
    <w:rsid w:val="595C1D52"/>
    <w:rsid w:val="75E85738"/>
    <w:rsid w:val="7AB644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主动公开情况</c:v>
                </c:pt>
              </c:strCache>
            </c:strRef>
          </c:tx>
          <c:spPr/>
          <c:explosion val="0"/>
          <c:dPt>
            <c:idx val="0"/>
            <c:bubble3D val="0"/>
            <c:spPr>
              <a:solidFill>
                <a:schemeClr val="accent2"/>
              </a:solidFill>
              <a:ln>
                <a:noFill/>
              </a:ln>
              <a:effectLst>
                <a:outerShdw blurRad="63500" sx="102000" sy="102000" algn="ctr" rotWithShape="0">
                  <a:prstClr val="black">
                    <a:alpha val="20000"/>
                  </a:prstClr>
                </a:outerShdw>
              </a:effectLst>
            </c:spPr>
          </c:dPt>
          <c:dPt>
            <c:idx val="1"/>
            <c:bubble3D val="0"/>
            <c:spPr>
              <a:solidFill>
                <a:schemeClr val="accent4"/>
              </a:solidFill>
              <a:ln>
                <a:noFill/>
              </a:ln>
              <a:effectLst>
                <a:outerShdw blurRad="63500" sx="102000" sy="102000" algn="ctr" rotWithShape="0">
                  <a:prstClr val="black">
                    <a:alpha val="20000"/>
                  </a:prstClr>
                </a:outerShdw>
              </a:effectLst>
            </c:spPr>
          </c:dPt>
          <c:dPt>
            <c:idx val="2"/>
            <c:bubble3D val="0"/>
            <c:spPr>
              <a:solidFill>
                <a:schemeClr val="accent6"/>
              </a:solidFill>
              <a:ln>
                <a:noFill/>
              </a:ln>
              <a:effectLst>
                <a:outerShdw blurRad="63500" sx="102000" sy="102000" algn="ctr" rotWithShape="0">
                  <a:prstClr val="black">
                    <a:alpha val="20000"/>
                  </a:prstClr>
                </a:outerShdw>
              </a:effectLst>
            </c:spPr>
          </c:dPt>
          <c:dPt>
            <c:idx val="3"/>
            <c:bubble3D val="0"/>
            <c:spPr>
              <a:solidFill>
                <a:schemeClr val="accent2">
                  <a:lumMod val="60000"/>
                </a:schemeClr>
              </a:solidFill>
              <a:ln>
                <a:noFill/>
              </a:ln>
              <a:effectLst>
                <a:outerShdw blurRad="63500" sx="102000" sy="102000" algn="ctr" rotWithShape="0">
                  <a:prstClr val="black">
                    <a:alpha val="20000"/>
                  </a:prstClr>
                </a:outerShdw>
              </a:effectLst>
            </c:spPr>
          </c:dPt>
          <c:dPt>
            <c:idx val="4"/>
            <c:bubble3D val="0"/>
            <c:spPr>
              <a:solidFill>
                <a:schemeClr val="accent4">
                  <a:lumMod val="60000"/>
                </a:schemeClr>
              </a:solidFill>
              <a:ln>
                <a:noFill/>
              </a:ln>
              <a:effectLst>
                <a:outerShdw blurRad="63500" sx="102000" sy="102000" algn="ctr" rotWithShape="0">
                  <a:prstClr val="black">
                    <a:alpha val="20000"/>
                  </a:prstClr>
                </a:outerShdw>
              </a:effectLst>
            </c:spPr>
          </c:dPt>
          <c:dPt>
            <c:idx val="5"/>
            <c:bubble3D val="0"/>
            <c:spPr>
              <a:solidFill>
                <a:schemeClr val="accent6">
                  <a:lumMod val="60000"/>
                </a:schemeClr>
              </a:solidFill>
              <a:ln>
                <a:noFill/>
              </a:ln>
              <a:effectLst>
                <a:outerShdw blurRad="63500" sx="102000" sy="102000" algn="ctr" rotWithShape="0">
                  <a:prstClr val="black">
                    <a:alpha val="20000"/>
                  </a:prstClr>
                </a:outerShdw>
              </a:effectLst>
            </c:spPr>
          </c:dPt>
          <c:dPt>
            <c:idx val="6"/>
            <c:bubble3D val="0"/>
            <c:spPr>
              <a:solidFill>
                <a:schemeClr val="accent2">
                  <a:lumMod val="80000"/>
                  <a:lumOff val="20000"/>
                </a:schemeClr>
              </a:solidFill>
              <a:ln>
                <a:noFill/>
              </a:ln>
              <a:effectLst>
                <a:outerShdw blurRad="63500" sx="102000" sy="102000" algn="ctr" rotWithShape="0">
                  <a:prstClr val="black">
                    <a:alpha val="20000"/>
                  </a:prstClr>
                </a:outerShdw>
              </a:effectLst>
            </c:spPr>
          </c:dPt>
          <c:dPt>
            <c:idx val="7"/>
            <c:bubble3D val="0"/>
            <c:spPr>
              <a:solidFill>
                <a:schemeClr val="accent4">
                  <a:lumMod val="80000"/>
                  <a:lumOff val="20000"/>
                </a:schemeClr>
              </a:solidFill>
              <a:ln>
                <a:noFill/>
              </a:ln>
              <a:effectLst>
                <a:outerShdw blurRad="63500" sx="102000" sy="102000" algn="ctr" rotWithShape="0">
                  <a:prstClr val="black">
                    <a:alpha val="20000"/>
                  </a:prstClr>
                </a:outerShdw>
              </a:effectLst>
            </c:spPr>
          </c:dPt>
          <c:dPt>
            <c:idx val="8"/>
            <c:bubble3D val="0"/>
            <c:spPr>
              <a:solidFill>
                <a:schemeClr val="accent6">
                  <a:lumMod val="80000"/>
                  <a:lumOff val="20000"/>
                </a:schemeClr>
              </a:solidFill>
              <a:ln>
                <a:noFill/>
              </a:ln>
              <a:effectLst>
                <a:outerShdw blurRad="635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lumMod val="60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lumMod val="60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lumMod val="60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lumMod val="80000"/>
                          <a:lumOff val="20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lumMod val="80000"/>
                          <a:lumOff val="20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lumMod val="80000"/>
                          <a:lumOff val="20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财政信息</c:v>
                </c:pt>
                <c:pt idx="1">
                  <c:v>机构职能信息</c:v>
                </c:pt>
                <c:pt idx="2">
                  <c:v>图文解读</c:v>
                </c:pt>
                <c:pt idx="3">
                  <c:v>主要负责人解读</c:v>
                </c:pt>
                <c:pt idx="4">
                  <c:v>双随机一公开监管</c:v>
                </c:pt>
                <c:pt idx="5">
                  <c:v>政府采购</c:v>
                </c:pt>
                <c:pt idx="6">
                  <c:v>行政执法信息</c:v>
                </c:pt>
                <c:pt idx="7">
                  <c:v>基层政务公开标准事项</c:v>
                </c:pt>
                <c:pt idx="8">
                  <c:v>政府信息</c:v>
                </c:pt>
              </c:strCache>
            </c:strRef>
          </c:cat>
          <c:val>
            <c:numRef>
              <c:f>Sheet1!$B$2:$B$10</c:f>
              <c:numCache>
                <c:formatCode>General</c:formatCode>
                <c:ptCount val="9"/>
                <c:pt idx="0">
                  <c:v>3</c:v>
                </c:pt>
                <c:pt idx="1">
                  <c:v>1</c:v>
                </c:pt>
                <c:pt idx="2">
                  <c:v>2</c:v>
                </c:pt>
                <c:pt idx="3">
                  <c:v>1</c:v>
                </c:pt>
                <c:pt idx="4">
                  <c:v>7</c:v>
                </c:pt>
                <c:pt idx="5">
                  <c:v>1</c:v>
                </c:pt>
                <c:pt idx="6">
                  <c:v>10</c:v>
                </c:pt>
                <c:pt idx="7">
                  <c:v>1</c:v>
                </c:pt>
                <c:pt idx="8">
                  <c:v>2</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2767</Words>
  <Characters>2862</Characters>
  <Lines>0</Lines>
  <Paragraphs>0</Paragraphs>
  <TotalTime>76</TotalTime>
  <ScaleCrop>false</ScaleCrop>
  <LinksUpToDate>false</LinksUpToDate>
  <CharactersWithSpaces>2895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2023-02-03T09:07:00Z</dcterms:created>
  <dc:creator>LENOVO</dc:creator>
  <cp:lastModifiedBy>LENOVO</cp:lastModifiedBy>
  <cp:lastPrinted>2023-02-07T01:51:00Z</cp:lastPrinted>
  <dcterms:modified xsi:type="dcterms:W3CDTF">2023-02-10T08:02:13Z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B8DE5627B99C48B6A97414F282FFCB7B</vt:lpwstr>
  </property>
</Properties>
</file>