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B0F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rPr>
        <w:t>济宁北湖省级旅游度假区行政应诉办法</w:t>
      </w:r>
    </w:p>
    <w:p w14:paraId="7BBDC4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征求意见稿</w:t>
      </w:r>
      <w:r>
        <w:rPr>
          <w:rFonts w:hint="eastAsia" w:ascii="方正楷体简体" w:hAnsi="方正楷体简体" w:eastAsia="方正楷体简体" w:cs="方正楷体简体"/>
          <w:b/>
          <w:bCs/>
          <w:sz w:val="32"/>
          <w:szCs w:val="32"/>
          <w:lang w:eastAsia="zh-CN"/>
        </w:rPr>
        <w:t>）</w:t>
      </w:r>
    </w:p>
    <w:p w14:paraId="3C63C5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rPr>
      </w:pPr>
    </w:p>
    <w:p w14:paraId="5CD249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 xml:space="preserve">第一条 </w:t>
      </w:r>
      <w:r>
        <w:rPr>
          <w:rFonts w:hint="eastAsia" w:ascii="方正仿宋简体" w:hAnsi="方正仿宋简体" w:eastAsia="方正仿宋简体" w:cs="方正仿宋简体"/>
          <w:b/>
          <w:bCs/>
          <w:sz w:val="32"/>
          <w:szCs w:val="32"/>
        </w:rPr>
        <w:t>为规范</w:t>
      </w:r>
      <w:r>
        <w:rPr>
          <w:rFonts w:hint="eastAsia" w:ascii="方正仿宋简体" w:hAnsi="方正仿宋简体" w:eastAsia="方正仿宋简体" w:cs="方正仿宋简体"/>
          <w:b/>
          <w:bCs/>
          <w:sz w:val="32"/>
          <w:szCs w:val="32"/>
          <w:lang w:val="en-US" w:eastAsia="zh-CN"/>
        </w:rPr>
        <w:t>行政机关</w:t>
      </w:r>
      <w:r>
        <w:rPr>
          <w:rFonts w:hint="eastAsia" w:ascii="方正仿宋简体" w:hAnsi="方正仿宋简体" w:eastAsia="方正仿宋简体" w:cs="方正仿宋简体"/>
          <w:b/>
          <w:bCs/>
          <w:sz w:val="32"/>
          <w:szCs w:val="32"/>
        </w:rPr>
        <w:t>行政应诉行为，</w:t>
      </w:r>
      <w:r>
        <w:rPr>
          <w:rFonts w:hint="eastAsia" w:ascii="方正仿宋简体" w:hAnsi="方正仿宋简体" w:eastAsia="方正仿宋简体" w:cs="方正仿宋简体"/>
          <w:b/>
          <w:bCs/>
          <w:sz w:val="32"/>
          <w:szCs w:val="32"/>
          <w:lang w:val="en-US" w:eastAsia="zh-CN"/>
        </w:rPr>
        <w:t>促进依法行政</w:t>
      </w:r>
      <w:r>
        <w:rPr>
          <w:rFonts w:hint="eastAsia" w:ascii="方正仿宋简体" w:hAnsi="方正仿宋简体" w:eastAsia="方正仿宋简体" w:cs="方正仿宋简体"/>
          <w:b/>
          <w:bCs/>
          <w:sz w:val="32"/>
          <w:szCs w:val="32"/>
        </w:rPr>
        <w:t>，根据《中华人民共和国行政诉讼法》《中华人民共和国行政复议法》</w:t>
      </w:r>
      <w:r>
        <w:rPr>
          <w:rFonts w:hint="eastAsia" w:ascii="方正仿宋简体" w:hAnsi="方正仿宋简体" w:eastAsia="方正仿宋简体" w:cs="方正仿宋简体"/>
          <w:b/>
          <w:bCs/>
          <w:sz w:val="32"/>
          <w:szCs w:val="32"/>
          <w:lang w:val="en-US" w:eastAsia="zh-CN"/>
        </w:rPr>
        <w:t>和《</w:t>
      </w:r>
      <w:r>
        <w:rPr>
          <w:rFonts w:hint="eastAsia" w:ascii="方正仿宋简体" w:hAnsi="方正仿宋简体" w:eastAsia="方正仿宋简体" w:cs="方正仿宋简体"/>
          <w:b/>
          <w:bCs/>
          <w:sz w:val="32"/>
          <w:szCs w:val="32"/>
        </w:rPr>
        <w:t>国务院办公厅关于加强和改进行政应诉工作的意见》</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lang w:val="en-US" w:eastAsia="zh-CN"/>
        </w:rPr>
        <w:t>济宁市行政应诉办法</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等法律法规</w:t>
      </w:r>
      <w:r>
        <w:rPr>
          <w:rFonts w:hint="eastAsia" w:ascii="方正仿宋简体" w:hAnsi="方正仿宋简体" w:eastAsia="方正仿宋简体" w:cs="方正仿宋简体"/>
          <w:b/>
          <w:bCs/>
          <w:sz w:val="32"/>
          <w:szCs w:val="32"/>
          <w:lang w:val="en-US" w:eastAsia="zh-CN"/>
        </w:rPr>
        <w:t>政策</w:t>
      </w:r>
      <w:r>
        <w:rPr>
          <w:rFonts w:hint="eastAsia" w:ascii="方正仿宋简体" w:hAnsi="方正仿宋简体" w:eastAsia="方正仿宋简体" w:cs="方正仿宋简体"/>
          <w:b/>
          <w:bCs/>
          <w:sz w:val="32"/>
          <w:szCs w:val="32"/>
        </w:rPr>
        <w:t>的规定，结合</w:t>
      </w:r>
      <w:r>
        <w:rPr>
          <w:rFonts w:hint="eastAsia" w:ascii="方正仿宋简体" w:hAnsi="方正仿宋简体" w:eastAsia="方正仿宋简体" w:cs="方正仿宋简体"/>
          <w:b/>
          <w:bCs/>
          <w:sz w:val="32"/>
          <w:szCs w:val="32"/>
          <w:lang w:val="en-US" w:eastAsia="zh-CN"/>
        </w:rPr>
        <w:t>本区</w:t>
      </w:r>
      <w:r>
        <w:rPr>
          <w:rFonts w:hint="eastAsia" w:ascii="方正仿宋简体" w:hAnsi="方正仿宋简体" w:eastAsia="方正仿宋简体" w:cs="方正仿宋简体"/>
          <w:b/>
          <w:bCs/>
          <w:sz w:val="32"/>
          <w:szCs w:val="32"/>
        </w:rPr>
        <w:t>实际，制定本办法。</w:t>
      </w:r>
    </w:p>
    <w:p w14:paraId="120D97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 xml:space="preserve">第二条 </w:t>
      </w:r>
      <w:r>
        <w:rPr>
          <w:rFonts w:hint="eastAsia" w:ascii="方正仿宋简体" w:hAnsi="方正仿宋简体" w:eastAsia="方正仿宋简体" w:cs="方正仿宋简体"/>
          <w:b/>
          <w:bCs/>
          <w:sz w:val="32"/>
          <w:szCs w:val="32"/>
          <w:lang w:val="en-US" w:eastAsia="zh-CN"/>
        </w:rPr>
        <w:t>本区</w:t>
      </w:r>
      <w:r>
        <w:rPr>
          <w:rFonts w:hint="eastAsia" w:ascii="方正仿宋简体" w:hAnsi="方正仿宋简体" w:eastAsia="方正仿宋简体" w:cs="方正仿宋简体"/>
          <w:b/>
          <w:bCs/>
          <w:sz w:val="32"/>
          <w:szCs w:val="32"/>
        </w:rPr>
        <w:t xml:space="preserve">行政机关和法律、法规、规章授权的组织（以下统称“行政机关”）的行政应诉工作，适用本办法。                                                                                                                                                                                                                                                       </w:t>
      </w:r>
      <w:r>
        <w:rPr>
          <w:rFonts w:hint="eastAsia" w:ascii="方正仿宋简体" w:hAnsi="方正仿宋简体" w:eastAsia="方正仿宋简体" w:cs="方正仿宋简体"/>
          <w:b/>
          <w:bCs/>
          <w:sz w:val="32"/>
          <w:szCs w:val="32"/>
          <w:lang w:val="en-US" w:eastAsia="zh-CN"/>
        </w:rPr>
        <w:t xml:space="preserve">            </w:t>
      </w:r>
    </w:p>
    <w:p w14:paraId="50A78A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rPr>
        <w:t>本办法所称行政机关包括区管委会、镇人民政府、街道办事处</w:t>
      </w:r>
      <w:r>
        <w:rPr>
          <w:rFonts w:hint="eastAsia" w:ascii="方正仿宋简体" w:hAnsi="方正仿宋简体" w:eastAsia="方正仿宋简体" w:cs="方正仿宋简体"/>
          <w:b/>
          <w:bCs/>
          <w:sz w:val="32"/>
          <w:szCs w:val="32"/>
          <w:lang w:val="en-US" w:eastAsia="zh-CN"/>
        </w:rPr>
        <w:t>、区属各部门、驻区各单位</w:t>
      </w:r>
      <w:r>
        <w:rPr>
          <w:rFonts w:hint="eastAsia" w:ascii="方正仿宋简体" w:hAnsi="方正仿宋简体" w:eastAsia="方正仿宋简体" w:cs="方正仿宋简体"/>
          <w:b/>
          <w:bCs/>
          <w:sz w:val="32"/>
          <w:szCs w:val="32"/>
        </w:rPr>
        <w:t>以及作出被诉行政行为的机构或组织。</w:t>
      </w:r>
    </w:p>
    <w:p w14:paraId="25536D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default" w:ascii="方正仿宋简体" w:hAnsi="方正仿宋简体" w:eastAsia="方正仿宋简体" w:cs="方正仿宋简体"/>
          <w:b/>
          <w:bCs/>
          <w:color w:val="0000FF"/>
          <w:kern w:val="2"/>
          <w:sz w:val="32"/>
          <w:szCs w:val="32"/>
          <w:lang w:val="en-US" w:eastAsia="zh-CN" w:bidi="ar-SA"/>
        </w:rPr>
      </w:pPr>
      <w:r>
        <w:rPr>
          <w:rFonts w:hint="eastAsia" w:ascii="黑体" w:hAnsi="黑体" w:eastAsia="黑体" w:cs="黑体"/>
          <w:b/>
          <w:bCs/>
          <w:sz w:val="32"/>
          <w:szCs w:val="32"/>
          <w:lang w:val="en-US" w:eastAsia="zh-CN"/>
        </w:rPr>
        <w:t>第三条</w:t>
      </w:r>
      <w:r>
        <w:rPr>
          <w:rFonts w:hint="eastAsia" w:ascii="方正仿宋简体" w:hAnsi="方正仿宋简体" w:eastAsia="方正仿宋简体" w:cs="方正仿宋简体"/>
          <w:b/>
          <w:bCs/>
          <w:sz w:val="32"/>
          <w:szCs w:val="32"/>
          <w:lang w:val="en-US" w:eastAsia="zh-CN"/>
        </w:rPr>
        <w:t xml:space="preserve"> 本办法所称</w:t>
      </w:r>
      <w:r>
        <w:rPr>
          <w:rFonts w:hint="eastAsia" w:ascii="方正仿宋简体" w:hAnsi="方正仿宋简体" w:eastAsia="方正仿宋简体" w:cs="方正仿宋简体"/>
          <w:b/>
          <w:bCs/>
          <w:sz w:val="32"/>
          <w:szCs w:val="32"/>
        </w:rPr>
        <w:t>行政应诉，</w:t>
      </w:r>
      <w:r>
        <w:rPr>
          <w:rFonts w:hint="eastAsia" w:ascii="方正仿宋简体" w:hAnsi="文星黑体" w:eastAsia="方正仿宋简体"/>
          <w:b/>
          <w:color w:val="000000"/>
          <w:sz w:val="32"/>
          <w:szCs w:val="32"/>
        </w:rPr>
        <w:t>指公民、法人或其他组织认为行政机关和行政机关工作人员的行政行为侵犯其合法权益，依法向人民法院提起行政诉讼，行政机关作为被告依法参加诉讼的活动。</w:t>
      </w:r>
    </w:p>
    <w:p w14:paraId="0EFA42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文星黑体" w:eastAsia="方正仿宋简体"/>
          <w:b/>
          <w:color w:val="000000"/>
          <w:sz w:val="32"/>
          <w:szCs w:val="32"/>
          <w:lang w:val="en-US" w:eastAsia="zh-CN"/>
        </w:rPr>
      </w:pPr>
      <w:r>
        <w:rPr>
          <w:rFonts w:hint="eastAsia" w:ascii="黑体" w:hAnsi="黑体" w:eastAsia="黑体" w:cs="黑体"/>
          <w:b/>
          <w:bCs/>
          <w:sz w:val="32"/>
          <w:szCs w:val="32"/>
          <w:lang w:val="en-US" w:eastAsia="zh-CN"/>
        </w:rPr>
        <w:t>第四条</w:t>
      </w:r>
      <w:r>
        <w:rPr>
          <w:rFonts w:hint="eastAsia" w:ascii="方正仿宋简体" w:hAnsi="文星黑体" w:eastAsia="方正仿宋简体"/>
          <w:b/>
          <w:color w:val="000000"/>
          <w:sz w:val="32"/>
          <w:szCs w:val="32"/>
          <w:lang w:val="en-US" w:eastAsia="zh-CN"/>
        </w:rPr>
        <w:t xml:space="preserve"> 行政机关应当加强对行政应诉工作的领导，保障行政应诉工作所需的经费、装备和其他必要的工作条件，及时解决行政应诉工作中的重大问题。</w:t>
      </w:r>
    </w:p>
    <w:p w14:paraId="571597FA">
      <w:pPr>
        <w:spacing w:line="600" w:lineRule="exact"/>
        <w:ind w:firstLine="642"/>
        <w:rPr>
          <w:rFonts w:hint="default" w:ascii="方正仿宋简体" w:hAnsi="文星黑体" w:eastAsia="方正仿宋简体"/>
          <w:b/>
          <w:color w:val="000000"/>
          <w:sz w:val="32"/>
          <w:szCs w:val="32"/>
          <w:lang w:val="en-US" w:eastAsia="zh-CN"/>
        </w:rPr>
      </w:pPr>
      <w:r>
        <w:rPr>
          <w:rFonts w:hint="eastAsia" w:ascii="黑体" w:hAnsi="黑体" w:eastAsia="黑体" w:cs="黑体"/>
          <w:b/>
          <w:bCs/>
          <w:sz w:val="32"/>
          <w:szCs w:val="32"/>
          <w:lang w:val="en-US" w:eastAsia="zh-CN"/>
        </w:rPr>
        <w:t>第五条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文星黑体" w:eastAsia="方正仿宋简体"/>
          <w:b/>
          <w:color w:val="000000"/>
          <w:sz w:val="32"/>
          <w:szCs w:val="32"/>
          <w:lang w:val="en-US" w:eastAsia="zh-CN"/>
        </w:rPr>
        <w:t>行政机关主要负责人是本机关行政应诉第一责任人，应当自觉履行行政应诉职责。</w:t>
      </w:r>
    </w:p>
    <w:p w14:paraId="2CBD4C0A">
      <w:pPr>
        <w:spacing w:line="600" w:lineRule="exact"/>
        <w:ind w:firstLine="642"/>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根据行政机关领导班子成员工作分工，按照“谁主管、谁负责”的原则，由行政机关分管领导牵头负责分管领域范围内被诉行政行为的行政应诉工作。</w:t>
      </w:r>
    </w:p>
    <w:p w14:paraId="1F2E107A">
      <w:pPr>
        <w:numPr>
          <w:ilvl w:val="0"/>
          <w:numId w:val="0"/>
        </w:numPr>
        <w:spacing w:line="600" w:lineRule="exact"/>
        <w:ind w:firstLine="608" w:firstLineChars="200"/>
        <w:rPr>
          <w:rFonts w:hint="eastAsia" w:ascii="方正仿宋简体" w:hAnsi="方正仿宋简体" w:eastAsia="方正仿宋简体" w:cs="方正仿宋简体"/>
          <w:b/>
          <w:bCs/>
          <w:color w:val="auto"/>
          <w:sz w:val="32"/>
          <w:szCs w:val="32"/>
          <w:highlight w:val="yellow"/>
          <w:lang w:eastAsia="zh-CN"/>
        </w:rPr>
      </w:pPr>
      <w:r>
        <w:rPr>
          <w:rFonts w:hint="eastAsia" w:ascii="黑体" w:hAnsi="黑体" w:eastAsia="黑体" w:cs="黑体"/>
          <w:b/>
          <w:bCs/>
          <w:sz w:val="32"/>
          <w:szCs w:val="32"/>
          <w:lang w:val="en-US" w:eastAsia="zh-CN"/>
        </w:rPr>
        <w:t>第六条</w:t>
      </w:r>
      <w:r>
        <w:rPr>
          <w:rFonts w:hint="eastAsia" w:ascii="方正仿宋简体" w:hAnsi="方正仿宋简体" w:eastAsia="方正仿宋简体" w:cs="方正仿宋简体"/>
          <w:b/>
          <w:bCs/>
          <w:color w:val="0000FF"/>
          <w:sz w:val="32"/>
          <w:szCs w:val="32"/>
          <w:lang w:val="en-US" w:eastAsia="zh-CN"/>
        </w:rPr>
        <w:t xml:space="preserve"> </w:t>
      </w:r>
      <w:r>
        <w:rPr>
          <w:rFonts w:hint="eastAsia" w:ascii="方正仿宋简体" w:hAnsi="方正仿宋简体" w:eastAsia="方正仿宋简体" w:cs="方正仿宋简体"/>
          <w:b/>
          <w:bCs/>
          <w:sz w:val="32"/>
          <w:szCs w:val="32"/>
          <w:lang w:val="en-US" w:eastAsia="zh-CN"/>
        </w:rPr>
        <w:t>区司法行政机构</w:t>
      </w:r>
      <w:r>
        <w:rPr>
          <w:rFonts w:hint="eastAsia" w:ascii="方正仿宋简体" w:hAnsi="方正仿宋简体" w:eastAsia="方正仿宋简体" w:cs="方正仿宋简体"/>
          <w:b/>
          <w:bCs/>
          <w:sz w:val="32"/>
          <w:szCs w:val="32"/>
        </w:rPr>
        <w:t>负责对全区行政应诉工作</w:t>
      </w:r>
      <w:r>
        <w:rPr>
          <w:rFonts w:hint="eastAsia" w:ascii="方正仿宋简体" w:hAnsi="方正仿宋简体" w:eastAsia="方正仿宋简体" w:cs="方正仿宋简体"/>
          <w:b/>
          <w:bCs/>
          <w:sz w:val="32"/>
          <w:szCs w:val="32"/>
          <w:lang w:val="en-US" w:eastAsia="zh-CN"/>
        </w:rPr>
        <w:t>进行</w:t>
      </w:r>
      <w:r>
        <w:rPr>
          <w:rFonts w:hint="eastAsia" w:ascii="方正仿宋简体" w:hAnsi="方正仿宋简体" w:eastAsia="方正仿宋简体" w:cs="方正仿宋简体"/>
          <w:b/>
          <w:bCs/>
          <w:sz w:val="32"/>
          <w:szCs w:val="32"/>
        </w:rPr>
        <w:t>协调、指导和监督。</w:t>
      </w:r>
    </w:p>
    <w:p w14:paraId="744B6667">
      <w:pPr>
        <w:numPr>
          <w:ilvl w:val="0"/>
          <w:numId w:val="0"/>
        </w:numPr>
        <w:spacing w:line="600" w:lineRule="exact"/>
        <w:ind w:firstLine="608" w:firstLineChars="200"/>
        <w:rPr>
          <w:rFonts w:hint="eastAsia" w:ascii="方正仿宋简体" w:hAnsi="方正仿宋简体" w:eastAsia="方正仿宋简体" w:cs="方正仿宋简体"/>
          <w:b/>
          <w:bCs/>
          <w:sz w:val="32"/>
          <w:szCs w:val="32"/>
          <w:lang w:val="en-US" w:eastAsia="zh-CN"/>
        </w:rPr>
      </w:pPr>
      <w:r>
        <w:rPr>
          <w:rFonts w:hint="eastAsia" w:ascii="黑体" w:hAnsi="黑体" w:eastAsia="黑体" w:cs="黑体"/>
          <w:b/>
          <w:bCs/>
          <w:sz w:val="32"/>
          <w:szCs w:val="32"/>
          <w:lang w:val="en-US" w:eastAsia="zh-CN"/>
        </w:rPr>
        <w:t>第七条</w:t>
      </w:r>
      <w:r>
        <w:rPr>
          <w:rFonts w:hint="eastAsia" w:ascii="方正仿宋简体" w:hAnsi="方正仿宋简体" w:eastAsia="方正仿宋简体" w:cs="方正仿宋简体"/>
          <w:b/>
          <w:bCs/>
          <w:sz w:val="32"/>
          <w:szCs w:val="32"/>
          <w:lang w:val="en-US" w:eastAsia="zh-CN"/>
        </w:rPr>
        <w:t xml:space="preserve"> 行政机关对本机关的行政应诉工作负责，并由其确定的机构负责办理或者组织办理本机关的行政应诉工作。</w:t>
      </w:r>
    </w:p>
    <w:p w14:paraId="23ACDE81">
      <w:pPr>
        <w:numPr>
          <w:ilvl w:val="0"/>
          <w:numId w:val="0"/>
        </w:numPr>
        <w:spacing w:line="600" w:lineRule="exact"/>
        <w:ind w:firstLine="608" w:firstLineChars="200"/>
        <w:rPr>
          <w:rFonts w:hint="default" w:ascii="方正仿宋简体" w:hAnsi="方正仿宋简体" w:eastAsia="方正仿宋简体" w:cs="方正仿宋简体"/>
          <w:b/>
          <w:bCs/>
          <w:color w:val="0000FF"/>
          <w:sz w:val="32"/>
          <w:szCs w:val="32"/>
          <w:lang w:val="en-US" w:eastAsia="zh-CN"/>
        </w:rPr>
      </w:pPr>
      <w:r>
        <w:rPr>
          <w:rFonts w:hint="eastAsia" w:ascii="方正仿宋简体" w:hAnsi="方正仿宋简体" w:eastAsia="方正仿宋简体" w:cs="方正仿宋简体"/>
          <w:b/>
          <w:bCs/>
          <w:sz w:val="32"/>
          <w:szCs w:val="32"/>
          <w:lang w:val="en-US" w:eastAsia="zh-CN"/>
        </w:rPr>
        <w:t>两个或两个以上行政机关作为共同被告的，应当以牵头机关为主，其他机关协同配合。</w:t>
      </w:r>
    </w:p>
    <w:p w14:paraId="7851ACF8">
      <w:pPr>
        <w:spacing w:line="600" w:lineRule="exact"/>
        <w:ind w:firstLine="608" w:firstLineChars="200"/>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以区管委会为被告的行政诉讼案件，按照谁主管（作出）、谁负责、谁应诉的原则，具体承办被诉行政行为的行政机关为应诉承办单位（以下简称“承办单位”）；无法确定承办单位的，或涉及两个或两个以上承办单位的，</w:t>
      </w:r>
      <w:r>
        <w:rPr>
          <w:rFonts w:hint="eastAsia" w:ascii="方正仿宋简体" w:hAnsi="方正仿宋简体" w:eastAsia="方正仿宋简体" w:cs="方正仿宋简体"/>
          <w:b/>
          <w:bCs/>
          <w:sz w:val="32"/>
          <w:szCs w:val="32"/>
        </w:rPr>
        <w:t>报请</w:t>
      </w:r>
      <w:r>
        <w:rPr>
          <w:rFonts w:hint="eastAsia" w:ascii="方正仿宋简体" w:hAnsi="方正仿宋简体" w:eastAsia="方正仿宋简体" w:cs="方正仿宋简体"/>
          <w:b/>
          <w:bCs/>
          <w:sz w:val="32"/>
          <w:szCs w:val="32"/>
          <w:lang w:val="en-US" w:eastAsia="zh-CN"/>
        </w:rPr>
        <w:t>区管委会</w:t>
      </w:r>
      <w:r>
        <w:rPr>
          <w:rFonts w:hint="eastAsia" w:ascii="方正仿宋简体" w:hAnsi="方正仿宋简体" w:eastAsia="方正仿宋简体" w:cs="方正仿宋简体"/>
          <w:b/>
          <w:bCs/>
          <w:sz w:val="32"/>
          <w:szCs w:val="32"/>
        </w:rPr>
        <w:t>指定行政应诉承办、协办单位。</w:t>
      </w:r>
    </w:p>
    <w:p w14:paraId="4FC636E3">
      <w:pPr>
        <w:numPr>
          <w:ilvl w:val="0"/>
          <w:numId w:val="0"/>
        </w:numPr>
        <w:spacing w:line="600" w:lineRule="exact"/>
        <w:ind w:firstLine="608" w:firstLineChars="200"/>
        <w:rPr>
          <w:rFonts w:hint="default" w:ascii="方正仿宋简体" w:hAnsi="方正仿宋简体" w:eastAsia="方正仿宋简体" w:cs="方正仿宋简体"/>
          <w:b/>
          <w:bCs/>
          <w:sz w:val="32"/>
          <w:szCs w:val="32"/>
          <w:lang w:val="en-US" w:eastAsia="zh-CN"/>
        </w:rPr>
      </w:pPr>
      <w:r>
        <w:rPr>
          <w:rFonts w:hint="eastAsia" w:ascii="黑体" w:hAnsi="黑体" w:eastAsia="黑体" w:cs="黑体"/>
          <w:b/>
          <w:bCs/>
          <w:sz w:val="32"/>
          <w:szCs w:val="32"/>
          <w:lang w:val="en-US" w:eastAsia="zh-CN"/>
        </w:rPr>
        <w:t>第八条</w:t>
      </w:r>
      <w:r>
        <w:rPr>
          <w:rFonts w:hint="eastAsia" w:ascii="方正仿宋简体" w:hAnsi="方正仿宋简体" w:eastAsia="方正仿宋简体" w:cs="方正仿宋简体"/>
          <w:b/>
          <w:bCs/>
          <w:sz w:val="32"/>
          <w:szCs w:val="32"/>
          <w:lang w:val="en-US" w:eastAsia="zh-CN"/>
        </w:rPr>
        <w:t xml:space="preserve"> 行政机关收到行政应诉文书后，应当及时按照本办法第七条确定承办单位。</w:t>
      </w:r>
    </w:p>
    <w:p w14:paraId="1B6DA613">
      <w:pPr>
        <w:numPr>
          <w:ilvl w:val="0"/>
          <w:numId w:val="0"/>
        </w:numPr>
        <w:spacing w:line="600" w:lineRule="exact"/>
        <w:ind w:firstLine="608"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以区管委会为被告的行政诉讼案件，区党政办公室应当自收到行政应诉文书之日起2日内转区司法行政机构，区司法行政机构按照本办法第七条规定交由承办单位办理。</w:t>
      </w:r>
    </w:p>
    <w:p w14:paraId="1B28317C">
      <w:pPr>
        <w:numPr>
          <w:ilvl w:val="0"/>
          <w:numId w:val="0"/>
        </w:numPr>
        <w:spacing w:line="600" w:lineRule="exact"/>
        <w:ind w:firstLine="608" w:firstLineChars="200"/>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其他机关收到以区管委会为被告的行政应诉文书的应当在1日内转区党政办公室按照本条第二款办理。</w:t>
      </w:r>
    </w:p>
    <w:p w14:paraId="2A61C1F4">
      <w:pPr>
        <w:spacing w:line="600" w:lineRule="exact"/>
        <w:ind w:firstLine="642"/>
        <w:rPr>
          <w:rFonts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第九条</w:t>
      </w:r>
      <w:r>
        <w:rPr>
          <w:rFonts w:hint="eastAsia" w:ascii="方正仿宋简体" w:hAnsi="方正仿宋简体" w:eastAsia="方正仿宋简体" w:cs="方正仿宋简体"/>
          <w:b/>
          <w:bCs/>
          <w:sz w:val="32"/>
          <w:szCs w:val="32"/>
          <w:highlight w:val="none"/>
          <w:lang w:val="en-US" w:eastAsia="zh-CN"/>
        </w:rPr>
        <w:t xml:space="preserve"> 行政机关</w:t>
      </w:r>
      <w:r>
        <w:rPr>
          <w:rFonts w:hint="eastAsia" w:ascii="方正仿宋简体" w:hAnsi="方正仿宋简体" w:eastAsia="方正仿宋简体" w:cs="方正仿宋简体"/>
          <w:b/>
          <w:bCs/>
          <w:sz w:val="32"/>
          <w:szCs w:val="32"/>
          <w:highlight w:val="none"/>
        </w:rPr>
        <w:t>应当</w:t>
      </w:r>
      <w:r>
        <w:rPr>
          <w:rFonts w:hint="eastAsia" w:ascii="方正仿宋简体" w:hAnsi="方正仿宋简体" w:eastAsia="方正仿宋简体" w:cs="方正仿宋简体"/>
          <w:b/>
          <w:bCs/>
          <w:sz w:val="32"/>
          <w:szCs w:val="32"/>
        </w:rPr>
        <w:t>做好</w:t>
      </w:r>
      <w:r>
        <w:rPr>
          <w:rFonts w:hint="eastAsia" w:ascii="方正仿宋简体" w:hAnsi="方正仿宋简体" w:eastAsia="方正仿宋简体" w:cs="方正仿宋简体"/>
          <w:b/>
          <w:bCs/>
          <w:sz w:val="32"/>
          <w:szCs w:val="32"/>
          <w:lang w:val="en-US" w:eastAsia="zh-CN"/>
        </w:rPr>
        <w:t>下列应诉</w:t>
      </w:r>
      <w:r>
        <w:rPr>
          <w:rFonts w:hint="eastAsia" w:ascii="方正仿宋简体" w:hAnsi="方正仿宋简体" w:eastAsia="方正仿宋简体" w:cs="方正仿宋简体"/>
          <w:b/>
          <w:bCs/>
          <w:sz w:val="32"/>
          <w:szCs w:val="32"/>
        </w:rPr>
        <w:t>工作：</w:t>
      </w:r>
    </w:p>
    <w:p w14:paraId="00CA48C9">
      <w:pPr>
        <w:spacing w:line="600" w:lineRule="exact"/>
        <w:ind w:firstLine="608" w:firstLineChars="200"/>
        <w:rPr>
          <w:rFonts w:ascii="方正仿宋简体" w:hAnsi="文星黑体" w:eastAsia="方正仿宋简体"/>
          <w:b/>
          <w:color w:val="000000"/>
          <w:spacing w:val="0"/>
          <w:sz w:val="32"/>
          <w:szCs w:val="32"/>
        </w:rPr>
      </w:pPr>
      <w:r>
        <w:rPr>
          <w:rFonts w:hint="eastAsia" w:ascii="方正仿宋简体" w:hAnsi="文星黑体" w:eastAsia="方正仿宋简体"/>
          <w:b/>
          <w:color w:val="000000"/>
          <w:spacing w:val="0"/>
          <w:sz w:val="32"/>
          <w:szCs w:val="32"/>
        </w:rPr>
        <w:t>（一）根据案件有关情况制定应诉方案；</w:t>
      </w:r>
    </w:p>
    <w:p w14:paraId="081A8332">
      <w:pPr>
        <w:spacing w:line="600" w:lineRule="exact"/>
        <w:ind w:firstLine="608" w:firstLineChars="200"/>
        <w:rPr>
          <w:rFonts w:ascii="方正仿宋简体" w:hAnsi="文星黑体" w:eastAsia="方正仿宋简体"/>
          <w:b/>
          <w:color w:val="000000"/>
          <w:spacing w:val="0"/>
          <w:sz w:val="32"/>
          <w:szCs w:val="32"/>
        </w:rPr>
      </w:pPr>
      <w:r>
        <w:rPr>
          <w:rFonts w:hint="eastAsia" w:ascii="方正仿宋简体" w:hAnsi="文星黑体" w:eastAsia="方正仿宋简体"/>
          <w:b/>
          <w:color w:val="000000"/>
          <w:spacing w:val="0"/>
          <w:sz w:val="32"/>
          <w:szCs w:val="32"/>
        </w:rPr>
        <w:t>（二）在法定期限内提交答辩状、证据、依据和其他有关材料；</w:t>
      </w:r>
    </w:p>
    <w:p w14:paraId="14A8643C">
      <w:pPr>
        <w:spacing w:line="600" w:lineRule="exact"/>
        <w:ind w:firstLine="608"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（三）组织人员出庭应诉；</w:t>
      </w:r>
    </w:p>
    <w:p w14:paraId="2965714D">
      <w:pPr>
        <w:spacing w:line="600" w:lineRule="exact"/>
        <w:ind w:firstLine="608"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（四）负责行政应诉案卷的立卷归档，按照有关规定报备；</w:t>
      </w:r>
    </w:p>
    <w:p w14:paraId="3E337E49">
      <w:pPr>
        <w:spacing w:line="600" w:lineRule="exact"/>
        <w:ind w:firstLine="608" w:firstLineChars="200"/>
        <w:rPr>
          <w:rFonts w:ascii="方正仿宋简体" w:hAnsi="文星黑体" w:eastAsia="方正仿宋简体"/>
          <w:b/>
          <w:color w:val="000000"/>
          <w:sz w:val="32"/>
          <w:szCs w:val="32"/>
          <w:highlight w:val="red"/>
        </w:rPr>
      </w:pPr>
      <w:r>
        <w:rPr>
          <w:rFonts w:hint="eastAsia" w:ascii="方正仿宋简体" w:hAnsi="文星黑体" w:eastAsia="方正仿宋简体"/>
          <w:b/>
          <w:color w:val="000000"/>
          <w:sz w:val="32"/>
          <w:szCs w:val="32"/>
        </w:rPr>
        <w:t>（五）对行政案件及行政应诉工作中的情况和问题进行分析总结，</w:t>
      </w:r>
      <w:r>
        <w:rPr>
          <w:rFonts w:hint="eastAsia" w:ascii="方正仿宋简体" w:hAnsi="文星黑体" w:eastAsia="方正仿宋简体"/>
          <w:b/>
          <w:color w:val="000000"/>
          <w:sz w:val="32"/>
          <w:szCs w:val="32"/>
          <w:highlight w:val="none"/>
        </w:rPr>
        <w:t>按要求提交行政应诉工作报告；</w:t>
      </w:r>
    </w:p>
    <w:p w14:paraId="7D4AD314">
      <w:pPr>
        <w:spacing w:line="600" w:lineRule="exact"/>
        <w:ind w:firstLine="608" w:firstLineChars="200"/>
        <w:rPr>
          <w:rFonts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（六）履行人民法院已生效的判决书、裁定书、调解书，认真研究办理人民法院司法建议并函复人民法院；</w:t>
      </w:r>
    </w:p>
    <w:p w14:paraId="68419229">
      <w:pPr>
        <w:spacing w:line="600" w:lineRule="exact"/>
        <w:ind w:firstLine="608" w:firstLineChars="200"/>
        <w:rPr>
          <w:rFonts w:hint="eastAsia" w:ascii="方正仿宋简体" w:hAnsi="文星黑体" w:eastAsia="方正仿宋简体"/>
          <w:b/>
          <w:color w:val="000000"/>
          <w:sz w:val="32"/>
          <w:szCs w:val="32"/>
        </w:rPr>
      </w:pPr>
      <w:r>
        <w:rPr>
          <w:rFonts w:hint="eastAsia" w:ascii="方正仿宋简体" w:hAnsi="文星黑体" w:eastAsia="方正仿宋简体"/>
          <w:b/>
          <w:color w:val="000000"/>
          <w:sz w:val="32"/>
          <w:szCs w:val="32"/>
        </w:rPr>
        <w:t>（七）法律、法规和规章规定的其他工作。</w:t>
      </w:r>
    </w:p>
    <w:p w14:paraId="248E4000">
      <w:pPr>
        <w:spacing w:line="600" w:lineRule="exact"/>
        <w:ind w:firstLine="642"/>
        <w:rPr>
          <w:rFonts w:hint="eastAsia" w:ascii="方正仿宋简体" w:hAnsi="方正仿宋简体" w:eastAsia="方正仿宋简体" w:cs="方正仿宋简体"/>
          <w:b/>
          <w:bCs/>
          <w:color w:val="auto"/>
          <w:sz w:val="32"/>
          <w:szCs w:val="32"/>
        </w:rPr>
      </w:pPr>
      <w:r>
        <w:rPr>
          <w:rFonts w:hint="eastAsia" w:ascii="黑体" w:hAnsi="黑体" w:eastAsia="黑体" w:cs="黑体"/>
          <w:b/>
          <w:bCs/>
          <w:sz w:val="32"/>
          <w:szCs w:val="32"/>
          <w:lang w:val="en-US" w:eastAsia="zh-CN"/>
        </w:rPr>
        <w:t>第十条</w:t>
      </w:r>
      <w:r>
        <w:rPr>
          <w:rFonts w:hint="eastAsia" w:ascii="方正仿宋简体" w:hAnsi="方正仿宋简体" w:eastAsia="方正仿宋简体" w:cs="方正仿宋简体"/>
          <w:b/>
          <w:bCs/>
          <w:color w:val="FF0000"/>
          <w:sz w:val="32"/>
          <w:szCs w:val="32"/>
        </w:rPr>
        <w:t xml:space="preserve"> </w:t>
      </w:r>
      <w:r>
        <w:rPr>
          <w:rFonts w:hint="eastAsia" w:ascii="方正仿宋简体" w:hAnsi="方正仿宋简体" w:eastAsia="方正仿宋简体" w:cs="方正仿宋简体"/>
          <w:b/>
          <w:bCs/>
          <w:color w:val="auto"/>
          <w:sz w:val="32"/>
          <w:szCs w:val="32"/>
        </w:rPr>
        <w:t>行政机关在收到</w:t>
      </w:r>
      <w:r>
        <w:rPr>
          <w:rFonts w:hint="eastAsia" w:ascii="方正仿宋简体" w:hAnsi="方正仿宋简体" w:eastAsia="方正仿宋简体" w:cs="方正仿宋简体"/>
          <w:b/>
          <w:bCs/>
          <w:color w:val="auto"/>
          <w:sz w:val="32"/>
          <w:szCs w:val="32"/>
          <w:lang w:val="en-US" w:eastAsia="zh-CN"/>
        </w:rPr>
        <w:t>应诉文书后</w:t>
      </w:r>
      <w:r>
        <w:rPr>
          <w:rFonts w:hint="eastAsia" w:ascii="方正仿宋简体" w:hAnsi="方正仿宋简体" w:eastAsia="方正仿宋简体" w:cs="方正仿宋简体"/>
          <w:b/>
          <w:bCs/>
          <w:color w:val="auto"/>
          <w:sz w:val="32"/>
          <w:szCs w:val="32"/>
        </w:rPr>
        <w:t>，发现有下列情形之一的，应当在法定期限内向人民法院提出异议：</w:t>
      </w:r>
    </w:p>
    <w:p w14:paraId="3C6ACB71">
      <w:pPr>
        <w:spacing w:line="600" w:lineRule="exact"/>
        <w:ind w:firstLine="642"/>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（一）属于行政复议前置，但未经行政复议的；</w:t>
      </w:r>
    </w:p>
    <w:p w14:paraId="4849D1CC">
      <w:pPr>
        <w:spacing w:line="600" w:lineRule="exact"/>
        <w:ind w:firstLine="642"/>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（二）依法应当由行政机关作出最终裁决的；</w:t>
      </w:r>
    </w:p>
    <w:p w14:paraId="0C57FBE5">
      <w:pPr>
        <w:spacing w:line="600" w:lineRule="exact"/>
        <w:ind w:firstLine="642"/>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（三）依法不属于受诉人民法院管辖的；</w:t>
      </w:r>
    </w:p>
    <w:p w14:paraId="026BDAE4">
      <w:pPr>
        <w:spacing w:line="600" w:lineRule="exact"/>
        <w:ind w:firstLine="642"/>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（四）原告不具备主体资格的；</w:t>
      </w:r>
    </w:p>
    <w:p w14:paraId="622EA48F">
      <w:pPr>
        <w:spacing w:line="600" w:lineRule="exact"/>
        <w:ind w:firstLine="642"/>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（五）起诉超过法定期限的；</w:t>
      </w:r>
    </w:p>
    <w:p w14:paraId="3D52993A">
      <w:pPr>
        <w:spacing w:line="600" w:lineRule="exact"/>
        <w:ind w:firstLine="642"/>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rPr>
        <w:t>（六）法律、法规规定的其他情形。</w:t>
      </w:r>
    </w:p>
    <w:p w14:paraId="000B2E63">
      <w:pPr>
        <w:spacing w:line="600" w:lineRule="exact"/>
        <w:ind w:firstLine="642"/>
        <w:rPr>
          <w:rFonts w:hint="eastAsia" w:ascii="方正仿宋简体" w:hAnsi="方正仿宋简体" w:eastAsia="方正仿宋简体" w:cs="方正仿宋简体"/>
          <w:b/>
          <w:bCs/>
          <w:color w:val="auto"/>
          <w:sz w:val="32"/>
          <w:szCs w:val="32"/>
          <w:lang w:val="en-US" w:eastAsia="zh-CN"/>
        </w:rPr>
      </w:pPr>
      <w:r>
        <w:rPr>
          <w:rFonts w:hint="eastAsia" w:ascii="黑体" w:hAnsi="黑体" w:eastAsia="黑体" w:cs="黑体"/>
          <w:b/>
          <w:bCs/>
          <w:color w:val="auto"/>
          <w:sz w:val="32"/>
          <w:szCs w:val="32"/>
          <w:lang w:val="en-US" w:eastAsia="zh-CN"/>
        </w:rPr>
        <w:t>第十一条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highlight w:val="none"/>
          <w:lang w:val="en-US" w:eastAsia="zh-CN"/>
        </w:rPr>
        <w:t>区管委会作为被告的行政应诉案件，承办单位应当将其答辩状和证据、依据等相关材料在规定时间内报送区司法行政机构，必要时可组织专家论证。</w:t>
      </w:r>
    </w:p>
    <w:p w14:paraId="39FB7E06">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lang w:val="en-US" w:eastAsia="zh-CN"/>
        </w:rPr>
        <w:t>承办单位在准备答辩状和证据、依据的过程中，</w:t>
      </w:r>
      <w:r>
        <w:rPr>
          <w:rFonts w:hint="eastAsia" w:ascii="方正仿宋简体" w:hAnsi="方正仿宋简体" w:eastAsia="方正仿宋简体" w:cs="方正仿宋简体"/>
          <w:b/>
          <w:bCs/>
          <w:color w:val="auto"/>
          <w:sz w:val="32"/>
          <w:szCs w:val="32"/>
          <w:highlight w:val="none"/>
          <w:lang w:val="en-US" w:eastAsia="zh-CN"/>
        </w:rPr>
        <w:t>应当向区管委会书面报告情况和争议化解方案。</w:t>
      </w:r>
    </w:p>
    <w:p w14:paraId="4CEF03E9">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答辩状应当形式规范、说理充分，载明案号、答辩机关基本信息、事实和相关依据、主要观点和答辩请求、落款和日期等内容。存在以下情形之一的，行政机关可以在答辩状中提出：</w:t>
      </w:r>
    </w:p>
    <w:p w14:paraId="6DAC24AC">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（一）原告不具有提起行政诉讼的主体资格；</w:t>
      </w:r>
    </w:p>
    <w:p w14:paraId="06288FF8">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（二）原告曾就被诉行政行为提起过诉讼；</w:t>
      </w:r>
    </w:p>
    <w:p w14:paraId="6F433FE0">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（三）原告未在法定期限内提起行政诉讼；</w:t>
      </w:r>
    </w:p>
    <w:p w14:paraId="154FAB7D">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（四）原告已就被诉行政行为申请行政复议，尚在行政复议程序中；</w:t>
      </w:r>
    </w:p>
    <w:p w14:paraId="69099E4E">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（五）应当依法复议前置的行政行为，未经过行政复议；</w:t>
      </w:r>
    </w:p>
    <w:p w14:paraId="43CC8078">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（六）本机关并非本案的适格被告；</w:t>
      </w:r>
    </w:p>
    <w:p w14:paraId="3C79EF74">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（七）其他不符合法律规定诉讼要件的。</w:t>
      </w:r>
    </w:p>
    <w:p w14:paraId="0D554B74">
      <w:pPr>
        <w:spacing w:line="600" w:lineRule="exact"/>
        <w:ind w:firstLine="642"/>
        <w:rPr>
          <w:rFonts w:hint="eastAsia" w:ascii="方正仿宋简体" w:hAnsi="方正仿宋简体" w:eastAsia="方正仿宋简体" w:cs="方正仿宋简体"/>
          <w:b/>
          <w:bCs/>
          <w:color w:val="auto"/>
          <w:sz w:val="32"/>
          <w:szCs w:val="32"/>
          <w:highlight w:val="none"/>
          <w:lang w:val="en-US" w:eastAsia="zh-CN"/>
        </w:rPr>
      </w:pPr>
      <w:r>
        <w:rPr>
          <w:rFonts w:hint="eastAsia" w:ascii="方正仿宋简体" w:hAnsi="方正仿宋简体" w:eastAsia="方正仿宋简体" w:cs="方正仿宋简体"/>
          <w:b/>
          <w:bCs/>
          <w:color w:val="auto"/>
          <w:sz w:val="32"/>
          <w:szCs w:val="32"/>
          <w:highlight w:val="none"/>
          <w:lang w:val="en-US" w:eastAsia="zh-CN"/>
        </w:rPr>
        <w:t>保管与行政应诉案件相关证据、依据或材料原件的行政机关应主动向承办单位提供相关证据、依据及材料原件；不得以任何理由拒绝或妨碍承办单位收集相关证据材料。</w:t>
      </w:r>
    </w:p>
    <w:p w14:paraId="30F44A4C">
      <w:pPr>
        <w:spacing w:line="600" w:lineRule="exact"/>
        <w:ind w:firstLine="642"/>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区司法行政机构在对承办单位报送的相关材料审查后，应当督促其办理行政应诉相关手续。</w:t>
      </w:r>
    </w:p>
    <w:p w14:paraId="35C77FF2">
      <w:pPr>
        <w:numPr>
          <w:ilvl w:val="0"/>
          <w:numId w:val="0"/>
        </w:numPr>
        <w:spacing w:line="600" w:lineRule="exact"/>
        <w:ind w:firstLine="608" w:firstLineChars="200"/>
        <w:rPr>
          <w:rFonts w:hint="eastAsia" w:ascii="方正仿宋简体" w:hAnsi="方正仿宋简体" w:eastAsia="方正仿宋简体" w:cs="方正仿宋简体"/>
          <w:b/>
          <w:bCs/>
          <w:color w:val="auto"/>
          <w:sz w:val="32"/>
          <w:szCs w:val="32"/>
          <w:lang w:eastAsia="zh-CN"/>
        </w:rPr>
      </w:pPr>
      <w:r>
        <w:rPr>
          <w:rFonts w:hint="eastAsia" w:ascii="黑体" w:hAnsi="黑体" w:eastAsia="黑体" w:cs="黑体"/>
          <w:b/>
          <w:bCs/>
          <w:sz w:val="32"/>
          <w:szCs w:val="32"/>
          <w:lang w:val="en-US" w:eastAsia="zh-CN"/>
        </w:rPr>
        <w:t xml:space="preserve">第十二条 </w:t>
      </w:r>
      <w:r>
        <w:rPr>
          <w:rFonts w:hint="eastAsia" w:ascii="方正仿宋简体" w:hAnsi="方正仿宋简体" w:eastAsia="方正仿宋简体" w:cs="方正仿宋简体"/>
          <w:b/>
          <w:bCs/>
          <w:color w:val="auto"/>
          <w:sz w:val="32"/>
          <w:szCs w:val="32"/>
          <w:lang w:eastAsia="zh-CN"/>
        </w:rPr>
        <w:t>因不可抗力或者客观上不能控制的其他正当事由，行政机关不能在法定期限内向人民法院提供证据的，应当在举证期限内向人民法院提出延期提供证据的申请。</w:t>
      </w:r>
    </w:p>
    <w:p w14:paraId="12E7813B">
      <w:pPr>
        <w:spacing w:line="600" w:lineRule="exact"/>
        <w:ind w:firstLine="642"/>
        <w:rPr>
          <w:rFonts w:hint="eastAsia"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 xml:space="preserve">第十三条 </w:t>
      </w:r>
      <w:r>
        <w:rPr>
          <w:rFonts w:hint="eastAsia" w:ascii="方正仿宋简体" w:hAnsi="方正仿宋简体" w:eastAsia="方正仿宋简体" w:cs="方正仿宋简体"/>
          <w:b/>
          <w:bCs/>
          <w:sz w:val="32"/>
          <w:szCs w:val="32"/>
          <w:lang w:val="en-US" w:eastAsia="zh-CN"/>
        </w:rPr>
        <w:t>行政机关人员</w:t>
      </w:r>
      <w:r>
        <w:rPr>
          <w:rFonts w:hint="eastAsia" w:ascii="方正仿宋简体" w:hAnsi="方正仿宋简体" w:eastAsia="方正仿宋简体" w:cs="方正仿宋简体"/>
          <w:b/>
          <w:bCs/>
          <w:sz w:val="32"/>
          <w:szCs w:val="32"/>
        </w:rPr>
        <w:t>出庭应诉应当遵守以下基本规范：</w:t>
      </w:r>
    </w:p>
    <w:p w14:paraId="128FDA6B">
      <w:pPr>
        <w:numPr>
          <w:ilvl w:val="0"/>
          <w:numId w:val="0"/>
        </w:numPr>
        <w:spacing w:line="600" w:lineRule="exact"/>
        <w:ind w:firstLine="608" w:firstLineChars="200"/>
        <w:rPr>
          <w:rFonts w:hint="eastAsia" w:ascii="方正仿宋简体" w:hAnsi="方正仿宋简体" w:eastAsia="方正仿宋简体" w:cs="方正仿宋简体"/>
          <w:b/>
          <w:bCs/>
          <w:color w:val="FF0000"/>
          <w:sz w:val="32"/>
          <w:szCs w:val="32"/>
          <w:lang w:eastAsia="zh-CN"/>
        </w:rPr>
      </w:pP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lang w:val="en-US" w:eastAsia="zh-CN"/>
        </w:rPr>
        <w:t>一</w:t>
      </w:r>
      <w:r>
        <w:rPr>
          <w:rFonts w:hint="eastAsia" w:ascii="方正仿宋简体" w:hAnsi="方正仿宋简体" w:eastAsia="方正仿宋简体" w:cs="方正仿宋简体"/>
          <w:b/>
          <w:bCs/>
          <w:sz w:val="32"/>
          <w:szCs w:val="32"/>
          <w:lang w:eastAsia="zh-CN"/>
        </w:rPr>
        <w:t>）</w:t>
      </w:r>
      <w:r>
        <w:rPr>
          <w:rFonts w:hint="eastAsia" w:ascii="方正仿宋简体" w:hAnsi="文星黑体" w:eastAsia="方正仿宋简体"/>
          <w:b/>
          <w:color w:val="000000"/>
          <w:sz w:val="32"/>
          <w:szCs w:val="32"/>
        </w:rPr>
        <w:t>准时出庭，</w:t>
      </w:r>
      <w:r>
        <w:rPr>
          <w:rFonts w:hint="eastAsia" w:ascii="方正仿宋简体" w:hAnsi="文星黑体" w:eastAsia="方正仿宋简体"/>
          <w:b/>
          <w:color w:val="000000"/>
          <w:sz w:val="32"/>
          <w:szCs w:val="32"/>
          <w:lang w:eastAsia="zh-CN"/>
        </w:rPr>
        <w:t>确有特殊原因不能按时到庭的，必须提前告知人民法院并说明理由；</w:t>
      </w:r>
    </w:p>
    <w:p w14:paraId="46ED4DD0">
      <w:pPr>
        <w:numPr>
          <w:ilvl w:val="0"/>
          <w:numId w:val="0"/>
        </w:numPr>
        <w:spacing w:line="600" w:lineRule="exact"/>
        <w:ind w:firstLine="608"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（二）尊重</w:t>
      </w:r>
      <w:r>
        <w:rPr>
          <w:rFonts w:hint="eastAsia" w:ascii="方正仿宋简体" w:hAnsi="方正仿宋简体" w:eastAsia="方正仿宋简体" w:cs="方正仿宋简体"/>
          <w:b/>
          <w:bCs/>
          <w:sz w:val="32"/>
          <w:szCs w:val="32"/>
          <w:lang w:val="en-US" w:eastAsia="zh-CN"/>
        </w:rPr>
        <w:t>司法</w:t>
      </w:r>
      <w:r>
        <w:rPr>
          <w:rFonts w:hint="eastAsia" w:ascii="方正仿宋简体" w:hAnsi="方正仿宋简体" w:eastAsia="方正仿宋简体" w:cs="方正仿宋简体"/>
          <w:b/>
          <w:bCs/>
          <w:sz w:val="32"/>
          <w:szCs w:val="32"/>
        </w:rPr>
        <w:t>审判人员和诉讼参与人；</w:t>
      </w:r>
    </w:p>
    <w:p w14:paraId="4F4FF43B">
      <w:pPr>
        <w:spacing w:line="600" w:lineRule="exact"/>
        <w:ind w:firstLine="642"/>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（三）遵守法庭纪律和庭审秩序；</w:t>
      </w:r>
    </w:p>
    <w:p w14:paraId="66537250">
      <w:pPr>
        <w:spacing w:line="600" w:lineRule="exact"/>
        <w:ind w:firstLine="642"/>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（四）着装整洁，举止得体；</w:t>
      </w:r>
    </w:p>
    <w:p w14:paraId="2A1620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（五）语言规范，用语文明。</w:t>
      </w:r>
    </w:p>
    <w:p w14:paraId="30262562">
      <w:pPr>
        <w:spacing w:line="600" w:lineRule="exact"/>
        <w:ind w:firstLine="642"/>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黑体" w:hAnsi="黑体" w:eastAsia="黑体" w:cs="黑体"/>
          <w:b/>
          <w:bCs/>
          <w:sz w:val="32"/>
          <w:szCs w:val="32"/>
          <w:lang w:val="en-US" w:eastAsia="zh-CN"/>
        </w:rPr>
        <w:t>第十四条</w:t>
      </w:r>
      <w:r>
        <w:rPr>
          <w:rFonts w:hint="eastAsia" w:ascii="方正仿宋简体" w:hAnsi="方正仿宋简体" w:eastAsia="方正仿宋简体" w:cs="方正仿宋简体"/>
          <w:b/>
          <w:bCs/>
          <w:color w:val="FF0000"/>
          <w:sz w:val="32"/>
          <w:szCs w:val="32"/>
          <w:lang w:val="en-US" w:eastAsia="zh-CN"/>
        </w:rPr>
        <w:t xml:space="preserve"> </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行政赔偿、补偿以及行政机关行使法律、法规规定的自由裁量权的行政案件，行政机关</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可以</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在人民法院主持下参与调解。</w:t>
      </w:r>
    </w:p>
    <w:p w14:paraId="75C8D78F">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行政机关在参与调解过程中应当遵循合法原则，不得损害国家利益、社会公共利益和他人合法权益。</w:t>
      </w:r>
    </w:p>
    <w:p w14:paraId="0C51A291">
      <w:pPr>
        <w:spacing w:line="600" w:lineRule="exact"/>
        <w:ind w:firstLine="642"/>
        <w:rPr>
          <w:rFonts w:hint="eastAsia" w:ascii="方正仿宋简体" w:hAnsi="方正仿宋简体" w:eastAsia="方正仿宋简体" w:cs="方正仿宋简体"/>
          <w:b/>
          <w:bCs/>
          <w:sz w:val="32"/>
          <w:szCs w:val="32"/>
          <w:lang w:val="en-US" w:eastAsia="zh-CN"/>
        </w:rPr>
      </w:pPr>
      <w:r>
        <w:rPr>
          <w:rFonts w:hint="eastAsia" w:ascii="黑体" w:hAnsi="黑体" w:eastAsia="黑体" w:cs="黑体"/>
          <w:b/>
          <w:bCs/>
          <w:sz w:val="32"/>
          <w:szCs w:val="32"/>
          <w:lang w:val="en-US" w:eastAsia="zh-CN"/>
        </w:rPr>
        <w:t xml:space="preserve">第十五条 </w:t>
      </w:r>
      <w:r>
        <w:rPr>
          <w:rFonts w:hint="eastAsia" w:ascii="方正仿宋简体" w:hAnsi="方正仿宋简体" w:eastAsia="方正仿宋简体" w:cs="方正仿宋简体"/>
          <w:b/>
          <w:bCs/>
          <w:sz w:val="32"/>
          <w:szCs w:val="32"/>
          <w:lang w:val="en-US" w:eastAsia="zh-CN"/>
        </w:rPr>
        <w:t>行政机关</w:t>
      </w:r>
      <w:r>
        <w:rPr>
          <w:rFonts w:hint="eastAsia" w:ascii="方正仿宋简体" w:hAnsi="方正仿宋简体" w:eastAsia="方正仿宋简体" w:cs="方正仿宋简体"/>
          <w:b/>
          <w:bCs/>
          <w:sz w:val="32"/>
          <w:szCs w:val="32"/>
        </w:rPr>
        <w:t>不得以欺骗、胁迫等非法手段使行政诉讼相对人撤诉。</w:t>
      </w:r>
      <w:r>
        <w:rPr>
          <w:rFonts w:hint="eastAsia" w:ascii="方正仿宋简体" w:hAnsi="方正仿宋简体" w:eastAsia="方正仿宋简体" w:cs="方正仿宋简体"/>
          <w:b/>
          <w:bCs/>
          <w:sz w:val="32"/>
          <w:szCs w:val="32"/>
          <w:lang w:val="en-US" w:eastAsia="zh-CN"/>
        </w:rPr>
        <w:t xml:space="preserve"> </w:t>
      </w:r>
    </w:p>
    <w:p w14:paraId="048F10FD">
      <w:pPr>
        <w:spacing w:line="600" w:lineRule="exact"/>
        <w:ind w:firstLine="642"/>
        <w:rPr>
          <w:rFonts w:hint="eastAsia"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第十六条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人民法院作出裁决前，</w:t>
      </w:r>
      <w:r>
        <w:rPr>
          <w:rFonts w:hint="eastAsia" w:ascii="方正仿宋简体" w:hAnsi="方正仿宋简体" w:eastAsia="方正仿宋简体" w:cs="方正仿宋简体"/>
          <w:b/>
          <w:bCs/>
          <w:sz w:val="32"/>
          <w:szCs w:val="32"/>
          <w:lang w:val="en-US" w:eastAsia="zh-CN"/>
        </w:rPr>
        <w:t>行政机关</w:t>
      </w:r>
      <w:r>
        <w:rPr>
          <w:rFonts w:hint="eastAsia" w:ascii="方正仿宋简体" w:hAnsi="方正仿宋简体" w:eastAsia="方正仿宋简体" w:cs="方正仿宋简体"/>
          <w:b/>
          <w:bCs/>
          <w:sz w:val="32"/>
          <w:szCs w:val="32"/>
        </w:rPr>
        <w:t>发现被诉行政行为确有违法的，应当依法主动纠正。</w:t>
      </w:r>
    </w:p>
    <w:p w14:paraId="1B35F465">
      <w:pPr>
        <w:spacing w:line="600" w:lineRule="exact"/>
        <w:ind w:firstLine="642"/>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在行政诉讼过程中，</w:t>
      </w:r>
      <w:r>
        <w:rPr>
          <w:rFonts w:hint="eastAsia" w:ascii="方正仿宋简体" w:hAnsi="方正仿宋简体" w:eastAsia="方正仿宋简体" w:cs="方正仿宋简体"/>
          <w:b/>
          <w:bCs/>
          <w:sz w:val="32"/>
          <w:szCs w:val="32"/>
          <w:lang w:val="en-US" w:eastAsia="zh-CN"/>
        </w:rPr>
        <w:t>行政机关</w:t>
      </w:r>
      <w:r>
        <w:rPr>
          <w:rFonts w:hint="eastAsia" w:ascii="方正仿宋简体" w:hAnsi="方正仿宋简体" w:eastAsia="方正仿宋简体" w:cs="方正仿宋简体"/>
          <w:b/>
          <w:bCs/>
          <w:sz w:val="32"/>
          <w:szCs w:val="32"/>
        </w:rPr>
        <w:t>撤销（部分撤销）或变更行政行为的，应当及时依法书面告知行政相对人、利害关系人及人民法院。</w:t>
      </w:r>
    </w:p>
    <w:p w14:paraId="66432341">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第十七条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被诉行政行为，人民法院裁决撤销、确认违法、确认无效、变更、责令履行职责、重新作出行政行为、履行给付义务或承担赔偿责任的，承办单位应当自裁决生效之日起15日内撰写结案报告，报送</w:t>
      </w:r>
      <w:r>
        <w:rPr>
          <w:rFonts w:hint="eastAsia" w:ascii="方正仿宋简体" w:hAnsi="方正仿宋简体" w:eastAsia="方正仿宋简体" w:cs="方正仿宋简体"/>
          <w:b/>
          <w:bCs/>
          <w:sz w:val="32"/>
          <w:szCs w:val="32"/>
          <w:lang w:val="en-US" w:eastAsia="zh-CN"/>
        </w:rPr>
        <w:t>区管委会</w:t>
      </w:r>
      <w:r>
        <w:rPr>
          <w:rFonts w:hint="eastAsia" w:ascii="方正仿宋简体" w:hAnsi="方正仿宋简体" w:eastAsia="方正仿宋简体" w:cs="方正仿宋简体"/>
          <w:b/>
          <w:bCs/>
          <w:sz w:val="32"/>
          <w:szCs w:val="32"/>
        </w:rPr>
        <w:t>并向</w:t>
      </w:r>
      <w:r>
        <w:rPr>
          <w:rFonts w:hint="eastAsia" w:ascii="方正仿宋简体" w:hAnsi="方正仿宋简体" w:eastAsia="方正仿宋简体" w:cs="方正仿宋简体"/>
          <w:b/>
          <w:bCs/>
          <w:sz w:val="32"/>
          <w:szCs w:val="32"/>
          <w:lang w:val="en-US" w:eastAsia="zh-CN"/>
        </w:rPr>
        <w:t>区司法行政</w:t>
      </w:r>
      <w:r>
        <w:rPr>
          <w:rFonts w:hint="eastAsia" w:ascii="方正仿宋简体" w:hAnsi="方正仿宋简体" w:eastAsia="方正仿宋简体" w:cs="方正仿宋简体"/>
          <w:b/>
          <w:bCs/>
          <w:sz w:val="32"/>
          <w:szCs w:val="32"/>
        </w:rPr>
        <w:t>机构备案。结案报告应当包含下列主要内容：</w:t>
      </w:r>
    </w:p>
    <w:p w14:paraId="6FCFBD9F">
      <w:pPr>
        <w:spacing w:line="600" w:lineRule="exact"/>
        <w:ind w:firstLine="642"/>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（一）行政机关与原告争议的事实和理由；</w:t>
      </w:r>
    </w:p>
    <w:p w14:paraId="2FC16F5C">
      <w:pPr>
        <w:spacing w:line="600" w:lineRule="exact"/>
        <w:ind w:firstLine="642"/>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（二）人民法院生效的判决结果；</w:t>
      </w:r>
    </w:p>
    <w:p w14:paraId="6051DA02">
      <w:pPr>
        <w:spacing w:line="600" w:lineRule="exact"/>
        <w:ind w:firstLine="642"/>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（三）败诉原因分析、相应的整改措施、意见或建议；</w:t>
      </w:r>
    </w:p>
    <w:p w14:paraId="1F944FF2">
      <w:pPr>
        <w:spacing w:line="600" w:lineRule="exact"/>
        <w:ind w:firstLine="642"/>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（四）其他需要说明的事项。</w:t>
      </w:r>
    </w:p>
    <w:p w14:paraId="50A610AC">
      <w:pPr>
        <w:spacing w:line="600" w:lineRule="exact"/>
        <w:ind w:firstLine="642"/>
        <w:rPr>
          <w:rFonts w:hint="eastAsia" w:ascii="方正仿宋简体" w:hAnsi="方正仿宋简体" w:eastAsia="方正仿宋简体" w:cs="方正仿宋简体"/>
          <w:b/>
          <w:bCs/>
          <w:sz w:val="32"/>
          <w:szCs w:val="32"/>
          <w:lang w:val="en-US" w:eastAsia="zh-CN"/>
        </w:rPr>
      </w:pPr>
      <w:r>
        <w:rPr>
          <w:rFonts w:hint="eastAsia" w:ascii="黑体" w:hAnsi="黑体" w:eastAsia="黑体" w:cs="黑体"/>
          <w:b/>
          <w:bCs/>
          <w:sz w:val="32"/>
          <w:szCs w:val="32"/>
          <w:lang w:val="en-US" w:eastAsia="zh-CN"/>
        </w:rPr>
        <w:t>第十八条</w:t>
      </w:r>
      <w:r>
        <w:rPr>
          <w:rFonts w:hint="eastAsia" w:ascii="方正仿宋简体" w:hAnsi="方正仿宋简体" w:eastAsia="方正仿宋简体" w:cs="方正仿宋简体"/>
          <w:b/>
          <w:bCs/>
          <w:sz w:val="32"/>
          <w:szCs w:val="32"/>
          <w:lang w:val="en-US" w:eastAsia="zh-CN"/>
        </w:rPr>
        <w:t xml:space="preserve"> 行政机关不服</w:t>
      </w:r>
      <w:r>
        <w:rPr>
          <w:rFonts w:hint="eastAsia" w:ascii="方正仿宋简体" w:hAnsi="方正仿宋简体" w:eastAsia="方正仿宋简体" w:cs="方正仿宋简体"/>
          <w:b/>
          <w:bCs/>
          <w:sz w:val="32"/>
          <w:szCs w:val="32"/>
        </w:rPr>
        <w:t>人民法院作出的</w:t>
      </w:r>
      <w:r>
        <w:rPr>
          <w:rFonts w:hint="eastAsia" w:ascii="方正仿宋简体" w:hAnsi="方正仿宋简体" w:eastAsia="方正仿宋简体" w:cs="方正仿宋简体"/>
          <w:b/>
          <w:bCs/>
          <w:sz w:val="32"/>
          <w:szCs w:val="32"/>
          <w:lang w:val="en-US" w:eastAsia="zh-CN"/>
        </w:rPr>
        <w:t>一审</w:t>
      </w:r>
      <w:r>
        <w:rPr>
          <w:rFonts w:hint="eastAsia" w:ascii="方正仿宋简体" w:hAnsi="方正仿宋简体" w:eastAsia="方正仿宋简体" w:cs="方正仿宋简体"/>
          <w:b/>
          <w:bCs/>
          <w:sz w:val="32"/>
          <w:szCs w:val="32"/>
        </w:rPr>
        <w:t>判决</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裁定</w:t>
      </w:r>
      <w:r>
        <w:rPr>
          <w:rFonts w:hint="eastAsia" w:ascii="方正仿宋简体" w:hAnsi="方正仿宋简体" w:eastAsia="方正仿宋简体" w:cs="方正仿宋简体"/>
          <w:b/>
          <w:bCs/>
          <w:sz w:val="32"/>
          <w:szCs w:val="32"/>
          <w:lang w:val="en-US" w:eastAsia="zh-CN"/>
        </w:rPr>
        <w:t>认为应当上诉的，按照法定程序在法定期限内向人民法院提出上诉。</w:t>
      </w:r>
    </w:p>
    <w:p w14:paraId="61B956B8">
      <w:pPr>
        <w:spacing w:line="600" w:lineRule="exact"/>
        <w:ind w:firstLine="642"/>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rPr>
        <w:t>行政机关认为人民法院作出的</w:t>
      </w:r>
      <w:r>
        <w:rPr>
          <w:rFonts w:hint="eastAsia" w:ascii="方正仿宋简体" w:hAnsi="方正仿宋简体" w:eastAsia="方正仿宋简体" w:cs="方正仿宋简体"/>
          <w:b/>
          <w:bCs/>
          <w:sz w:val="32"/>
          <w:szCs w:val="32"/>
          <w:lang w:val="en-US" w:eastAsia="zh-CN"/>
        </w:rPr>
        <w:t>终审判决、裁定确有错误的，应当依法向人民法院申请再审。</w:t>
      </w:r>
    </w:p>
    <w:p w14:paraId="129A3B28">
      <w:pPr>
        <w:numPr>
          <w:ilvl w:val="0"/>
          <w:numId w:val="0"/>
        </w:numPr>
        <w:spacing w:line="600" w:lineRule="exact"/>
        <w:ind w:firstLine="608" w:firstLineChars="200"/>
        <w:rPr>
          <w:rFonts w:hint="eastAsia" w:ascii="方正仿宋简体" w:hAnsi="方正仿宋简体" w:eastAsia="方正仿宋简体" w:cs="方正仿宋简体"/>
          <w:b/>
          <w:bCs/>
          <w:sz w:val="32"/>
          <w:szCs w:val="32"/>
          <w:lang w:val="en-US" w:eastAsia="zh-CN"/>
        </w:rPr>
      </w:pPr>
      <w:r>
        <w:rPr>
          <w:rFonts w:hint="eastAsia" w:ascii="黑体" w:hAnsi="黑体" w:eastAsia="黑体" w:cs="黑体"/>
          <w:b/>
          <w:bCs/>
          <w:sz w:val="32"/>
          <w:szCs w:val="32"/>
          <w:lang w:val="en-US" w:eastAsia="zh-CN"/>
        </w:rPr>
        <w:t xml:space="preserve">第十九条 </w:t>
      </w:r>
      <w:r>
        <w:rPr>
          <w:rFonts w:hint="eastAsia" w:ascii="方正仿宋简体" w:hAnsi="方正仿宋简体" w:eastAsia="方正仿宋简体" w:cs="方正仿宋简体"/>
          <w:b/>
          <w:bCs/>
          <w:sz w:val="32"/>
          <w:szCs w:val="32"/>
          <w:lang w:val="en-US" w:eastAsia="zh-CN"/>
        </w:rPr>
        <w:t>区管委会作为被告的行政诉讼案件，人民法院作出判决、裁定后，承办单位应当自收到判决、裁定之日起3日内将判决、裁定等法律文书报区司法行政机构备案。</w:t>
      </w:r>
    </w:p>
    <w:p w14:paraId="1EF7932A">
      <w:pPr>
        <w:spacing w:line="600" w:lineRule="exact"/>
        <w:ind w:firstLine="642"/>
        <w:rPr>
          <w:rFonts w:hint="eastAsia" w:ascii="方正仿宋简体" w:hAnsi="方正仿宋简体" w:eastAsia="方正仿宋简体" w:cs="方正仿宋简体"/>
          <w:b/>
          <w:bCs/>
          <w:sz w:val="32"/>
          <w:szCs w:val="32"/>
          <w:highlight w:val="none"/>
          <w:lang w:val="en-US" w:eastAsia="zh-CN"/>
        </w:rPr>
      </w:pPr>
      <w:r>
        <w:rPr>
          <w:rFonts w:hint="eastAsia" w:ascii="黑体" w:hAnsi="黑体" w:eastAsia="黑体" w:cs="黑体"/>
          <w:b/>
          <w:bCs/>
          <w:sz w:val="32"/>
          <w:szCs w:val="32"/>
          <w:lang w:val="en-US" w:eastAsia="zh-CN"/>
        </w:rPr>
        <w:t>第二十条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highlight w:val="none"/>
          <w:lang w:val="en-US" w:eastAsia="zh-CN"/>
        </w:rPr>
        <w:t>区管委会作为被告的行政诉讼案件，承办单位对人民法院作出的一审判决、裁定不服要求上诉的，应当自收到一审判决书、裁定书之日起3日内将上诉意见报送区司法行政机构，由区司法行政机构审查并提出建议后报区管委会审定。</w:t>
      </w:r>
    </w:p>
    <w:p w14:paraId="694F762F">
      <w:pPr>
        <w:spacing w:line="600" w:lineRule="exact"/>
        <w:ind w:firstLine="642"/>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区管委会作为被告的行政诉讼案件，承办单位认为人民法院作出的终审判决、裁定有错误的，应当报请区管委会向人民法院申请再审。</w:t>
      </w:r>
    </w:p>
    <w:p w14:paraId="35490FC2">
      <w:pPr>
        <w:spacing w:line="600" w:lineRule="exact"/>
        <w:ind w:firstLine="608" w:firstLineChars="200"/>
        <w:rPr>
          <w:rFonts w:hint="eastAsia" w:ascii="方正仿宋简体" w:hAnsi="方正仿宋简体" w:eastAsia="方正仿宋简体" w:cs="方正仿宋简体"/>
          <w:b/>
          <w:bCs/>
          <w:color w:val="auto"/>
          <w:sz w:val="32"/>
          <w:szCs w:val="32"/>
        </w:rPr>
      </w:pPr>
      <w:r>
        <w:rPr>
          <w:rFonts w:hint="eastAsia" w:ascii="黑体" w:hAnsi="黑体" w:eastAsia="黑体" w:cs="黑体"/>
          <w:b/>
          <w:bCs/>
          <w:color w:val="auto"/>
          <w:sz w:val="32"/>
          <w:szCs w:val="32"/>
          <w:lang w:val="en-US" w:eastAsia="zh-CN"/>
        </w:rPr>
        <w:t>第二十一条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人民法院向行政机关制发司法建议书的，行政机关应当按照有关规定处理完毕后30日内</w:t>
      </w:r>
      <w:r>
        <w:rPr>
          <w:rFonts w:hint="eastAsia" w:ascii="方正仿宋简体" w:hAnsi="方正仿宋简体" w:eastAsia="方正仿宋简体" w:cs="方正仿宋简体"/>
          <w:b/>
          <w:bCs/>
          <w:color w:val="auto"/>
          <w:sz w:val="32"/>
          <w:szCs w:val="32"/>
          <w:lang w:val="en-US" w:eastAsia="zh-CN"/>
        </w:rPr>
        <w:t>需要确认是否有法律法规规定</w:t>
      </w:r>
      <w:r>
        <w:rPr>
          <w:rFonts w:hint="eastAsia" w:ascii="方正仿宋简体" w:hAnsi="方正仿宋简体" w:eastAsia="方正仿宋简体" w:cs="方正仿宋简体"/>
          <w:b/>
          <w:bCs/>
          <w:color w:val="auto"/>
          <w:sz w:val="32"/>
          <w:szCs w:val="32"/>
        </w:rPr>
        <w:t>将结果函告人民法院，并抄送区</w:t>
      </w:r>
      <w:r>
        <w:rPr>
          <w:rFonts w:hint="eastAsia" w:ascii="方正仿宋简体" w:hAnsi="方正仿宋简体" w:eastAsia="方正仿宋简体" w:cs="方正仿宋简体"/>
          <w:b/>
          <w:bCs/>
          <w:color w:val="auto"/>
          <w:sz w:val="32"/>
          <w:szCs w:val="32"/>
          <w:lang w:val="en-US" w:eastAsia="zh-CN"/>
        </w:rPr>
        <w:t>司法行政</w:t>
      </w:r>
      <w:r>
        <w:rPr>
          <w:rFonts w:hint="eastAsia" w:ascii="方正仿宋简体" w:hAnsi="方正仿宋简体" w:eastAsia="方正仿宋简体" w:cs="方正仿宋简体"/>
          <w:b/>
          <w:bCs/>
          <w:color w:val="auto"/>
          <w:sz w:val="32"/>
          <w:szCs w:val="32"/>
        </w:rPr>
        <w:t>机构备案。</w:t>
      </w:r>
    </w:p>
    <w:p w14:paraId="6350A1D3">
      <w:pPr>
        <w:spacing w:line="600" w:lineRule="exact"/>
        <w:ind w:firstLine="608" w:firstLineChars="200"/>
        <w:rPr>
          <w:rFonts w:hint="eastAsia" w:ascii="方正仿宋简体" w:hAnsi="方正仿宋简体" w:eastAsia="方正仿宋简体" w:cs="方正仿宋简体"/>
          <w:b/>
          <w:bCs/>
          <w:color w:val="auto"/>
          <w:sz w:val="32"/>
          <w:szCs w:val="32"/>
        </w:rPr>
      </w:pPr>
      <w:r>
        <w:rPr>
          <w:rFonts w:hint="eastAsia" w:ascii="黑体" w:hAnsi="黑体" w:eastAsia="黑体" w:cs="黑体"/>
          <w:b/>
          <w:bCs/>
          <w:sz w:val="32"/>
          <w:szCs w:val="32"/>
          <w:lang w:val="en-US" w:eastAsia="zh-CN"/>
        </w:rPr>
        <w:t>第二十二条</w:t>
      </w:r>
      <w:r>
        <w:rPr>
          <w:rFonts w:hint="eastAsia" w:ascii="方正仿宋简体" w:hAnsi="方正仿宋简体" w:eastAsia="方正仿宋简体" w:cs="方正仿宋简体"/>
          <w:b/>
          <w:bCs/>
          <w:color w:val="FF0000"/>
          <w:sz w:val="32"/>
          <w:szCs w:val="32"/>
          <w:lang w:val="en-US" w:eastAsia="zh-CN"/>
        </w:rPr>
        <w:t xml:space="preserve"> </w:t>
      </w:r>
      <w:r>
        <w:rPr>
          <w:rFonts w:hint="eastAsia" w:ascii="方正仿宋简体" w:hAnsi="方正仿宋简体" w:eastAsia="方正仿宋简体" w:cs="方正仿宋简体"/>
          <w:b/>
          <w:bCs/>
          <w:color w:val="auto"/>
          <w:sz w:val="32"/>
          <w:szCs w:val="32"/>
          <w:lang w:val="en-US" w:eastAsia="zh-CN"/>
        </w:rPr>
        <w:t>行政机关要加强</w:t>
      </w:r>
      <w:r>
        <w:rPr>
          <w:rFonts w:hint="eastAsia" w:ascii="方正仿宋简体" w:hAnsi="方正仿宋简体" w:eastAsia="方正仿宋简体" w:cs="方正仿宋简体"/>
          <w:b/>
          <w:bCs/>
          <w:color w:val="auto"/>
          <w:sz w:val="32"/>
          <w:szCs w:val="32"/>
        </w:rPr>
        <w:t>行政应诉案件数据统计，优化数据报送形式，</w:t>
      </w:r>
      <w:r>
        <w:rPr>
          <w:rFonts w:hint="eastAsia" w:ascii="方正仿宋简体" w:hAnsi="方正仿宋简体" w:eastAsia="方正仿宋简体" w:cs="方正仿宋简体"/>
          <w:b/>
          <w:bCs/>
          <w:color w:val="auto"/>
          <w:sz w:val="32"/>
          <w:szCs w:val="32"/>
          <w:lang w:val="en-US" w:eastAsia="zh-CN"/>
        </w:rPr>
        <w:t>定期</w:t>
      </w:r>
      <w:r>
        <w:rPr>
          <w:rFonts w:hint="eastAsia" w:ascii="方正仿宋简体" w:hAnsi="方正仿宋简体" w:eastAsia="方正仿宋简体" w:cs="方正仿宋简体"/>
          <w:b/>
          <w:bCs/>
          <w:color w:val="auto"/>
          <w:sz w:val="32"/>
          <w:szCs w:val="32"/>
        </w:rPr>
        <w:t>向区</w:t>
      </w:r>
      <w:r>
        <w:rPr>
          <w:rFonts w:hint="eastAsia" w:ascii="方正仿宋简体" w:hAnsi="方正仿宋简体" w:eastAsia="方正仿宋简体" w:cs="方正仿宋简体"/>
          <w:b/>
          <w:bCs/>
          <w:color w:val="auto"/>
          <w:sz w:val="32"/>
          <w:szCs w:val="32"/>
          <w:lang w:val="en-US" w:eastAsia="zh-CN"/>
        </w:rPr>
        <w:t>司法行政机构</w:t>
      </w:r>
      <w:r>
        <w:rPr>
          <w:rFonts w:hint="eastAsia" w:ascii="方正仿宋简体" w:hAnsi="方正仿宋简体" w:eastAsia="方正仿宋简体" w:cs="方正仿宋简体"/>
          <w:b/>
          <w:bCs/>
          <w:color w:val="auto"/>
          <w:sz w:val="32"/>
          <w:szCs w:val="32"/>
        </w:rPr>
        <w:t>报送本</w:t>
      </w:r>
      <w:r>
        <w:rPr>
          <w:rFonts w:hint="eastAsia" w:ascii="方正仿宋简体" w:hAnsi="方正仿宋简体" w:eastAsia="方正仿宋简体" w:cs="方正仿宋简体"/>
          <w:b/>
          <w:bCs/>
          <w:color w:val="auto"/>
          <w:sz w:val="32"/>
          <w:szCs w:val="32"/>
          <w:lang w:val="en-US" w:eastAsia="zh-CN"/>
        </w:rPr>
        <w:t>机关</w:t>
      </w:r>
      <w:r>
        <w:rPr>
          <w:rFonts w:hint="eastAsia" w:ascii="方正仿宋简体" w:hAnsi="方正仿宋简体" w:eastAsia="方正仿宋简体" w:cs="方正仿宋简体"/>
          <w:b/>
          <w:bCs/>
          <w:color w:val="auto"/>
          <w:sz w:val="32"/>
          <w:szCs w:val="32"/>
        </w:rPr>
        <w:t>行政机关负责人出庭应诉和败诉案件相关信息。</w:t>
      </w:r>
    </w:p>
    <w:p w14:paraId="515B49A3">
      <w:pPr>
        <w:spacing w:line="600" w:lineRule="exact"/>
        <w:ind w:firstLine="608" w:firstLineChars="200"/>
        <w:rPr>
          <w:rFonts w:hint="default"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行政机关应当定期对本机关的行政应诉案件办理情况、存在的问题及下一步打算等行政应诉工作开展情况进行统计分析</w:t>
      </w:r>
      <w:r>
        <w:rPr>
          <w:rFonts w:hint="eastAsia" w:ascii="方正仿宋简体" w:hAnsi="方正仿宋简体" w:eastAsia="方正仿宋简体" w:cs="方正仿宋简体"/>
          <w:b/>
          <w:bCs/>
          <w:color w:val="auto"/>
          <w:sz w:val="32"/>
          <w:szCs w:val="32"/>
          <w:lang w:val="en-US" w:eastAsia="zh-CN"/>
        </w:rPr>
        <w:t>总结，形成书面报告报区管委会。</w:t>
      </w:r>
    </w:p>
    <w:p w14:paraId="0AFC2958">
      <w:pPr>
        <w:spacing w:line="600" w:lineRule="exact"/>
        <w:ind w:firstLine="608" w:firstLineChars="200"/>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区</w:t>
      </w:r>
      <w:r>
        <w:rPr>
          <w:rFonts w:hint="eastAsia" w:ascii="方正仿宋简体" w:hAnsi="方正仿宋简体" w:eastAsia="方正仿宋简体" w:cs="方正仿宋简体"/>
          <w:b/>
          <w:bCs/>
          <w:color w:val="auto"/>
          <w:sz w:val="32"/>
          <w:szCs w:val="32"/>
          <w:lang w:val="en-US" w:eastAsia="zh-CN"/>
        </w:rPr>
        <w:t>司法行政机构</w:t>
      </w:r>
      <w:r>
        <w:rPr>
          <w:rFonts w:hint="eastAsia" w:ascii="方正仿宋简体" w:hAnsi="方正仿宋简体" w:eastAsia="方正仿宋简体" w:cs="方正仿宋简体"/>
          <w:b/>
          <w:bCs/>
          <w:color w:val="auto"/>
          <w:sz w:val="32"/>
          <w:szCs w:val="32"/>
        </w:rPr>
        <w:t>应当按照相关规定定期对全区</w:t>
      </w:r>
      <w:r>
        <w:rPr>
          <w:rFonts w:hint="eastAsia" w:ascii="方正仿宋简体" w:hAnsi="方正仿宋简体" w:eastAsia="方正仿宋简体" w:cs="方正仿宋简体"/>
          <w:b/>
          <w:bCs/>
          <w:color w:val="auto"/>
          <w:sz w:val="32"/>
          <w:szCs w:val="32"/>
          <w:lang w:val="en-US" w:eastAsia="zh-CN"/>
        </w:rPr>
        <w:t>行政应诉案件</w:t>
      </w:r>
      <w:r>
        <w:rPr>
          <w:rFonts w:hint="eastAsia" w:ascii="方正仿宋简体" w:hAnsi="方正仿宋简体" w:eastAsia="方正仿宋简体" w:cs="方正仿宋简体"/>
          <w:b/>
          <w:bCs/>
          <w:color w:val="auto"/>
          <w:sz w:val="32"/>
          <w:szCs w:val="32"/>
        </w:rPr>
        <w:t>进行统计、分析，并向区管委会、市司法局报告。</w:t>
      </w:r>
    </w:p>
    <w:p w14:paraId="53558EC3">
      <w:pPr>
        <w:spacing w:line="600" w:lineRule="exact"/>
        <w:ind w:firstLine="608" w:firstLineChars="200"/>
        <w:rPr>
          <w:rFonts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第二十三条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强化行政应诉队伍建设和行政应诉人员资格管理，配备一批具有法律职业资格的人员充实到行政应诉队伍，加强应诉力量，提高应诉能力。</w:t>
      </w:r>
    </w:p>
    <w:p w14:paraId="11406475">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第二十四条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行政机关应当建立行政机关工作人员旁听庭审活动制度，制定年度旁听庭审活动计划，强化行政机关工作人员教育引导，提升行政机关工作人员依法行政工作水平。</w:t>
      </w:r>
    </w:p>
    <w:p w14:paraId="06613E24">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 xml:space="preserve">第二十五条 </w:t>
      </w:r>
      <w:r>
        <w:rPr>
          <w:rFonts w:hint="eastAsia" w:ascii="方正仿宋简体" w:hAnsi="方正仿宋简体" w:eastAsia="方正仿宋简体" w:cs="方正仿宋简体"/>
          <w:b/>
          <w:bCs/>
          <w:sz w:val="32"/>
          <w:szCs w:val="32"/>
        </w:rPr>
        <w:t>有下列情形之一的，行政机关应当按照有关规定追究相关责任人责任：</w:t>
      </w:r>
    </w:p>
    <w:p w14:paraId="601BE602">
      <w:pPr>
        <w:spacing w:line="600" w:lineRule="exact"/>
        <w:ind w:firstLine="584" w:firstLineChars="200"/>
        <w:rPr>
          <w:rFonts w:hint="eastAsia" w:ascii="方正仿宋简体" w:hAnsi="方正仿宋简体" w:eastAsia="方正仿宋简体" w:cs="方正仿宋简体"/>
          <w:b/>
          <w:bCs/>
          <w:spacing w:val="-6"/>
          <w:sz w:val="32"/>
          <w:szCs w:val="32"/>
        </w:rPr>
      </w:pPr>
      <w:r>
        <w:rPr>
          <w:rFonts w:hint="eastAsia" w:ascii="方正仿宋简体" w:hAnsi="方正仿宋简体" w:eastAsia="方正仿宋简体" w:cs="方正仿宋简体"/>
          <w:b/>
          <w:bCs/>
          <w:spacing w:val="-6"/>
          <w:sz w:val="32"/>
          <w:szCs w:val="32"/>
        </w:rPr>
        <w:t>（一）证据保管单位拒绝提供或者妨碍承办单位收集证据的；</w:t>
      </w:r>
    </w:p>
    <w:p w14:paraId="0BC82AA2">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（二）干预、阻碍人民法院依法受理、审理案件的；</w:t>
      </w:r>
    </w:p>
    <w:p w14:paraId="09289D8F">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（三）法定期限内不提交行政答辩状、证据材料的；</w:t>
      </w:r>
    </w:p>
    <w:p w14:paraId="323734EA">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（四）经法院传票传唤无正当理由拒不到庭或未经法庭允许，中途退庭的；</w:t>
      </w:r>
    </w:p>
    <w:p w14:paraId="63F025AF">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（五）被诉行政机关负责人不出庭应诉也不委托相应的工作人员出庭的；</w:t>
      </w:r>
    </w:p>
    <w:p w14:paraId="4C0CA436">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（六）存在《中华人民共和国行政诉讼法》第五十九条规定的妨碍司法、扰乱秩序等情形的；</w:t>
      </w:r>
    </w:p>
    <w:p w14:paraId="52F4FACE">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（七）拒不履行人民法院已生效的判决书、裁定书、调解书的；</w:t>
      </w:r>
    </w:p>
    <w:p w14:paraId="21C5D86F">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（八）未按规定函复司法建议的；</w:t>
      </w:r>
    </w:p>
    <w:p w14:paraId="45E8141F">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（九）</w:t>
      </w:r>
      <w:r>
        <w:rPr>
          <w:rFonts w:hint="eastAsia" w:ascii="方正仿宋简体" w:hAnsi="方正仿宋简体" w:eastAsia="方正仿宋简体" w:cs="方正仿宋简体"/>
          <w:b/>
          <w:bCs/>
          <w:sz w:val="32"/>
          <w:szCs w:val="32"/>
          <w:lang w:val="en-US" w:eastAsia="zh-CN"/>
        </w:rPr>
        <w:t>未按照</w:t>
      </w:r>
      <w:r>
        <w:rPr>
          <w:rFonts w:hint="eastAsia" w:ascii="方正仿宋简体" w:hAnsi="方正仿宋简体" w:eastAsia="方正仿宋简体" w:cs="方正仿宋简体"/>
          <w:b/>
          <w:bCs/>
          <w:sz w:val="32"/>
          <w:szCs w:val="32"/>
        </w:rPr>
        <w:t>本办法</w:t>
      </w:r>
      <w:r>
        <w:rPr>
          <w:rFonts w:hint="eastAsia" w:ascii="方正仿宋简体" w:hAnsi="方正仿宋简体" w:eastAsia="方正仿宋简体" w:cs="方正仿宋简体"/>
          <w:b/>
          <w:bCs/>
          <w:sz w:val="32"/>
          <w:szCs w:val="32"/>
          <w:lang w:val="en-US" w:eastAsia="zh-CN"/>
        </w:rPr>
        <w:t>第十七条、</w:t>
      </w: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十九条、第二十一条</w:t>
      </w:r>
      <w:r>
        <w:rPr>
          <w:rFonts w:hint="eastAsia" w:ascii="方正仿宋简体" w:hAnsi="方正仿宋简体" w:eastAsia="方正仿宋简体" w:cs="方正仿宋简体"/>
          <w:b/>
          <w:bCs/>
          <w:sz w:val="32"/>
          <w:szCs w:val="32"/>
        </w:rPr>
        <w:t>规定进行报告和备案的；</w:t>
      </w:r>
    </w:p>
    <w:p w14:paraId="75B38058">
      <w:pPr>
        <w:spacing w:line="600" w:lineRule="exact"/>
        <w:ind w:firstLine="608"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（十）违反法律、法规、规章及本办法的其他行为。</w:t>
      </w:r>
    </w:p>
    <w:p w14:paraId="1BA05FEE">
      <w:pPr>
        <w:spacing w:line="600" w:lineRule="exact"/>
        <w:ind w:firstLine="642"/>
        <w:rPr>
          <w:rFonts w:hint="eastAsia"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第二十六条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行政机关作为第三人参与行政诉讼</w:t>
      </w:r>
      <w:r>
        <w:rPr>
          <w:rFonts w:hint="eastAsia" w:ascii="方正仿宋简体" w:hAnsi="方正仿宋简体" w:eastAsia="方正仿宋简体" w:cs="方正仿宋简体"/>
          <w:b/>
          <w:bCs/>
          <w:sz w:val="32"/>
          <w:szCs w:val="32"/>
          <w:lang w:val="en-US" w:eastAsia="zh-CN"/>
        </w:rPr>
        <w:t>和</w:t>
      </w:r>
      <w:r>
        <w:rPr>
          <w:rFonts w:hint="eastAsia" w:ascii="方正仿宋简体" w:hAnsi="方正仿宋简体" w:eastAsia="方正仿宋简体" w:cs="方正仿宋简体"/>
          <w:b/>
          <w:bCs/>
          <w:sz w:val="32"/>
          <w:szCs w:val="32"/>
        </w:rPr>
        <w:t>行政复议活动</w:t>
      </w:r>
      <w:r>
        <w:rPr>
          <w:rFonts w:hint="eastAsia" w:ascii="方正仿宋简体" w:hAnsi="方正仿宋简体" w:eastAsia="方正仿宋简体" w:cs="方正仿宋简体"/>
          <w:b/>
          <w:bCs/>
          <w:sz w:val="32"/>
          <w:szCs w:val="32"/>
          <w:lang w:val="en-US" w:eastAsia="zh-CN"/>
        </w:rPr>
        <w:t>的</w:t>
      </w:r>
      <w:r>
        <w:rPr>
          <w:rFonts w:hint="eastAsia" w:ascii="方正仿宋简体" w:hAnsi="方正仿宋简体" w:eastAsia="方正仿宋简体" w:cs="方正仿宋简体"/>
          <w:b/>
          <w:bCs/>
          <w:sz w:val="32"/>
          <w:szCs w:val="32"/>
        </w:rPr>
        <w:t>，参照本办法执行。</w:t>
      </w:r>
    </w:p>
    <w:p w14:paraId="2946A061">
      <w:pPr>
        <w:spacing w:line="600" w:lineRule="exact"/>
        <w:ind w:firstLine="642"/>
        <w:rPr>
          <w:rFonts w:ascii="方正仿宋简体" w:hAnsi="方正仿宋简体" w:eastAsia="方正仿宋简体" w:cs="方正仿宋简体"/>
          <w:b/>
          <w:bCs/>
          <w:sz w:val="32"/>
          <w:szCs w:val="32"/>
        </w:rPr>
      </w:pPr>
      <w:r>
        <w:rPr>
          <w:rFonts w:hint="eastAsia" w:ascii="黑体" w:hAnsi="黑体" w:eastAsia="黑体" w:cs="黑体"/>
          <w:b/>
          <w:bCs/>
          <w:sz w:val="32"/>
          <w:szCs w:val="32"/>
          <w:lang w:val="en-US" w:eastAsia="zh-CN"/>
        </w:rPr>
        <w:t>第二十七条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本办法自202</w:t>
      </w:r>
      <w:r>
        <w:rPr>
          <w:rFonts w:hint="eastAsia" w:ascii="方正仿宋简体" w:hAnsi="方正仿宋简体" w:eastAsia="方正仿宋简体" w:cs="方正仿宋简体"/>
          <w:b/>
          <w:bCs/>
          <w:sz w:val="32"/>
          <w:szCs w:val="32"/>
          <w:lang w:val="en-US" w:eastAsia="zh-CN"/>
        </w:rPr>
        <w:t>5</w:t>
      </w:r>
      <w:r>
        <w:rPr>
          <w:rFonts w:hint="eastAsia" w:ascii="方正仿宋简体" w:hAnsi="方正仿宋简体" w:eastAsia="方正仿宋简体" w:cs="方正仿宋简体"/>
          <w:b/>
          <w:bCs/>
          <w:sz w:val="32"/>
          <w:szCs w:val="32"/>
        </w:rPr>
        <w:t>年</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月</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日起施行，有效期至202</w:t>
      </w:r>
      <w:r>
        <w:rPr>
          <w:rFonts w:hint="eastAsia" w:ascii="方正仿宋简体" w:hAnsi="方正仿宋简体" w:eastAsia="方正仿宋简体" w:cs="方正仿宋简体"/>
          <w:b/>
          <w:bCs/>
          <w:sz w:val="32"/>
          <w:szCs w:val="32"/>
          <w:lang w:val="en-US" w:eastAsia="zh-CN"/>
        </w:rPr>
        <w:t>7</w:t>
      </w:r>
      <w:r>
        <w:rPr>
          <w:rFonts w:hint="eastAsia" w:ascii="方正仿宋简体" w:hAnsi="方正仿宋简体" w:eastAsia="方正仿宋简体" w:cs="方正仿宋简体"/>
          <w:b/>
          <w:bCs/>
          <w:sz w:val="32"/>
          <w:szCs w:val="32"/>
        </w:rPr>
        <w:t>年</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月</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日。</w:t>
      </w:r>
    </w:p>
    <w:p w14:paraId="28B409BB">
      <w:pPr>
        <w:spacing w:line="600" w:lineRule="exact"/>
        <w:ind w:firstLine="642"/>
        <w:rPr>
          <w:rFonts w:hint="default" w:ascii="方正仿宋简体" w:hAnsi="方正仿宋简体" w:eastAsia="方正仿宋简体" w:cs="方正仿宋简体"/>
          <w:b/>
          <w:bCs/>
          <w:sz w:val="32"/>
          <w:szCs w:val="32"/>
          <w:lang w:val="en-US" w:eastAsia="zh-CN"/>
        </w:rPr>
      </w:pPr>
    </w:p>
    <w:p w14:paraId="737C6F6C">
      <w:pPr>
        <w:pStyle w:val="2"/>
        <w:rPr>
          <w:rFonts w:hint="eastAsia"/>
        </w:rPr>
        <w:sectPr>
          <w:pgSz w:w="11906" w:h="16838"/>
          <w:pgMar w:top="1440" w:right="1797" w:bottom="1440" w:left="1797" w:header="851" w:footer="992" w:gutter="0"/>
          <w:cols w:space="0" w:num="1"/>
          <w:rtlGutter w:val="0"/>
          <w:docGrid w:type="linesAndChars" w:linePitch="312" w:charSpace="-3420"/>
        </w:sectPr>
      </w:pPr>
    </w:p>
    <w:p w14:paraId="7B3409D0">
      <w:pPr>
        <w:pStyle w:val="2"/>
        <w:rPr>
          <w:rFonts w:hint="eastAsia"/>
        </w:rPr>
      </w:pPr>
    </w:p>
    <w:p w14:paraId="4F64A9CF">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797" w:bottom="1440" w:left="1797" w:header="851" w:footer="992" w:gutter="0"/>
      <w:cols w:space="0" w:num="1"/>
      <w:rtlGutter w:val="0"/>
      <w:docGrid w:type="linesAndChars" w:linePitch="312"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文星黑体">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97"/>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DUwYmEwOGQyZTQ4ZDBhMTIzZGI4ZTczYjQyMzIifQ=="/>
  </w:docVars>
  <w:rsids>
    <w:rsidRoot w:val="20C7526F"/>
    <w:rsid w:val="15DE62DF"/>
    <w:rsid w:val="16840CA4"/>
    <w:rsid w:val="199B6790"/>
    <w:rsid w:val="20C7526F"/>
    <w:rsid w:val="43FB710C"/>
    <w:rsid w:val="595E5C4E"/>
    <w:rsid w:val="5F1E00FD"/>
    <w:rsid w:val="69266666"/>
    <w:rsid w:val="6ECE7307"/>
    <w:rsid w:val="78B4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3717</Words>
  <Characters>3773</Characters>
  <Lines>0</Lines>
  <Paragraphs>0</Paragraphs>
  <TotalTime>0</TotalTime>
  <ScaleCrop>false</ScaleCrop>
  <LinksUpToDate>false</LinksUpToDate>
  <CharactersWithSpaces>4076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2024-11-14T07:24:00Z</dcterms:created>
  <dc:creator>丑丑</dc:creator>
  <cp:lastModifiedBy>丑丑</cp:lastModifiedBy>
  <cp:lastPrinted>2024-11-20T06:39:00Z</cp:lastPrinted>
  <dcterms:modified xsi:type="dcterms:W3CDTF">2024-11-21T06:57:39Z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AAB915D0AC36480DB8265055A1CA4EDE_13</vt:lpwstr>
  </property>
</Properties>
</file>