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716A4">
      <w:pPr>
        <w:bidi w:val="0"/>
        <w:rPr>
          <w:rFonts w:hint="eastAsia"/>
          <w:lang w:eastAsia="zh-CN"/>
        </w:rPr>
      </w:pPr>
    </w:p>
    <w:p w14:paraId="0D59B734">
      <w:pPr>
        <w:bidi w:val="0"/>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太白湖新区党工委政法委员会</w:t>
      </w:r>
    </w:p>
    <w:p w14:paraId="066E0985">
      <w:pPr>
        <w:bidi w:val="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2025年</w:t>
      </w:r>
      <w:r>
        <w:rPr>
          <w:rFonts w:hint="eastAsia" w:ascii="方正小标宋简体" w:hAnsi="方正小标宋简体" w:eastAsia="方正小标宋简体" w:cs="方正小标宋简体"/>
          <w:b/>
          <w:bCs/>
          <w:sz w:val="44"/>
          <w:szCs w:val="44"/>
        </w:rPr>
        <w:t>政府信息公开工作年度报告</w:t>
      </w:r>
    </w:p>
    <w:p w14:paraId="46B1CC0A">
      <w:pPr>
        <w:bidi w:val="0"/>
        <w:rPr>
          <w:rFonts w:hint="eastAsia"/>
        </w:rPr>
      </w:pPr>
    </w:p>
    <w:p w14:paraId="35B2961F">
      <w:pPr>
        <w:pStyle w:val="3"/>
        <w:keepNext w:val="0"/>
        <w:keepLines w:val="0"/>
        <w:widowControl/>
        <w:suppressLineNumbers w:val="0"/>
        <w:spacing w:before="0" w:beforeAutospacing="0" w:after="0" w:afterAutospacing="0" w:line="600" w:lineRule="atLeast"/>
        <w:ind w:left="0" w:right="0" w:firstLine="645"/>
        <w:rPr>
          <w:rFonts w:ascii="sans-serif" w:hAnsi="sans-serif" w:eastAsia="sans-serif" w:cs="sans-serif"/>
          <w:i w:val="0"/>
          <w:iCs w:val="0"/>
          <w:caps w:val="0"/>
          <w:color w:val="000000"/>
          <w:spacing w:val="0"/>
          <w:sz w:val="27"/>
          <w:szCs w:val="27"/>
        </w:rPr>
      </w:pPr>
      <w:r>
        <w:rPr>
          <w:rStyle w:val="6"/>
          <w:rFonts w:hint="eastAsia" w:ascii="方正仿宋简体" w:hAnsi="方正仿宋简体" w:eastAsia="方正仿宋简体" w:cs="方正仿宋简体"/>
          <w:i w:val="0"/>
          <w:iCs w:val="0"/>
          <w:caps w:val="0"/>
          <w:color w:val="000000"/>
          <w:spacing w:val="0"/>
          <w:sz w:val="31"/>
          <w:szCs w:val="31"/>
          <w:lang w:eastAsia="zh-CN"/>
        </w:rPr>
        <w:t>本报告由</w:t>
      </w:r>
      <w:r>
        <w:rPr>
          <w:rStyle w:val="6"/>
          <w:rFonts w:ascii="方正仿宋简体" w:hAnsi="方正仿宋简体" w:eastAsia="方正仿宋简体" w:cs="方正仿宋简体"/>
          <w:i w:val="0"/>
          <w:iCs w:val="0"/>
          <w:caps w:val="0"/>
          <w:color w:val="000000"/>
          <w:spacing w:val="0"/>
          <w:sz w:val="31"/>
          <w:szCs w:val="31"/>
        </w:rPr>
        <w:t>区</w:t>
      </w:r>
      <w:r>
        <w:rPr>
          <w:rStyle w:val="6"/>
          <w:rFonts w:hint="eastAsia" w:ascii="方正仿宋简体" w:hAnsi="方正仿宋简体" w:eastAsia="方正仿宋简体" w:cs="方正仿宋简体"/>
          <w:i w:val="0"/>
          <w:iCs w:val="0"/>
          <w:caps w:val="0"/>
          <w:color w:val="000000"/>
          <w:spacing w:val="0"/>
          <w:sz w:val="31"/>
          <w:szCs w:val="31"/>
          <w:lang w:eastAsia="zh-CN"/>
        </w:rPr>
        <w:t>党工委政法委员会</w:t>
      </w:r>
      <w:r>
        <w:rPr>
          <w:rStyle w:val="6"/>
          <w:rFonts w:hint="eastAsia" w:ascii="方正仿宋简体" w:hAnsi="方正仿宋简体" w:eastAsia="方正仿宋简体" w:cs="方正仿宋简体"/>
          <w:i w:val="0"/>
          <w:iCs w:val="0"/>
          <w:caps w:val="0"/>
          <w:color w:val="000000"/>
          <w:spacing w:val="0"/>
          <w:sz w:val="31"/>
          <w:szCs w:val="31"/>
        </w:rPr>
        <w:t>按照《中华人民共和国政府信息公开条例》（以下简称《条例》）和《中华人民共和国政府信息公开工作年度报告格式》（国办公开办函〔</w:t>
      </w:r>
      <w:r>
        <w:rPr>
          <w:rStyle w:val="6"/>
          <w:rFonts w:hint="default" w:ascii="Times New Roman" w:hAnsi="Times New Roman" w:eastAsia="sans-serif" w:cs="Times New Roman"/>
          <w:i w:val="0"/>
          <w:iCs w:val="0"/>
          <w:caps w:val="0"/>
          <w:color w:val="000000"/>
          <w:spacing w:val="0"/>
          <w:sz w:val="31"/>
          <w:szCs w:val="31"/>
        </w:rPr>
        <w:t>2021</w:t>
      </w:r>
      <w:r>
        <w:rPr>
          <w:rStyle w:val="6"/>
          <w:rFonts w:hint="eastAsia" w:ascii="方正仿宋简体" w:hAnsi="方正仿宋简体" w:eastAsia="方正仿宋简体" w:cs="方正仿宋简体"/>
          <w:i w:val="0"/>
          <w:iCs w:val="0"/>
          <w:caps w:val="0"/>
          <w:color w:val="000000"/>
          <w:spacing w:val="0"/>
          <w:sz w:val="31"/>
          <w:szCs w:val="31"/>
        </w:rPr>
        <w:t>〕</w:t>
      </w:r>
      <w:r>
        <w:rPr>
          <w:rStyle w:val="6"/>
          <w:rFonts w:hint="default" w:ascii="Times New Roman" w:hAnsi="Times New Roman" w:eastAsia="sans-serif" w:cs="Times New Roman"/>
          <w:i w:val="0"/>
          <w:iCs w:val="0"/>
          <w:caps w:val="0"/>
          <w:color w:val="000000"/>
          <w:spacing w:val="0"/>
          <w:sz w:val="31"/>
          <w:szCs w:val="31"/>
        </w:rPr>
        <w:t>30</w:t>
      </w:r>
      <w:r>
        <w:rPr>
          <w:rStyle w:val="6"/>
          <w:rFonts w:hint="eastAsia" w:ascii="方正仿宋简体" w:hAnsi="方正仿宋简体" w:eastAsia="方正仿宋简体" w:cs="方正仿宋简体"/>
          <w:i w:val="0"/>
          <w:iCs w:val="0"/>
          <w:caps w:val="0"/>
          <w:color w:val="000000"/>
          <w:spacing w:val="0"/>
          <w:sz w:val="31"/>
          <w:szCs w:val="31"/>
        </w:rPr>
        <w:t>号）要求编制。</w:t>
      </w:r>
    </w:p>
    <w:p w14:paraId="02A598CE">
      <w:pPr>
        <w:pStyle w:val="3"/>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6"/>
          <w:rFonts w:hint="eastAsia" w:ascii="方正仿宋简体" w:hAnsi="方正仿宋简体" w:eastAsia="方正仿宋简体" w:cs="方正仿宋简体"/>
          <w:i w:val="0"/>
          <w:iCs w:val="0"/>
          <w:caps w:val="0"/>
          <w:color w:val="000000"/>
          <w:spacing w:val="0"/>
          <w:sz w:val="31"/>
          <w:szCs w:val="31"/>
          <w:lang w:eastAsia="zh-CN"/>
        </w:rPr>
        <w:t>本报告</w:t>
      </w:r>
      <w:r>
        <w:rPr>
          <w:rStyle w:val="6"/>
          <w:rFonts w:hint="eastAsia" w:ascii="方正仿宋简体" w:hAnsi="方正仿宋简体" w:eastAsia="方正仿宋简体" w:cs="方正仿宋简体"/>
          <w:i w:val="0"/>
          <w:iCs w:val="0"/>
          <w:caps w:val="0"/>
          <w:color w:val="000000"/>
          <w:spacing w:val="0"/>
          <w:sz w:val="31"/>
          <w:szCs w:val="31"/>
        </w:rPr>
        <w:t>内容包括总体情况、主动公开政府信息情况、收到和处理政府信息公开申请情况、政府信息公开行政复议和行政诉讼情况、存在的主要问题及改进情况、其他需要报告的事项等六部分内容。</w:t>
      </w:r>
    </w:p>
    <w:p w14:paraId="0850F1C4">
      <w:pPr>
        <w:pStyle w:val="3"/>
        <w:keepNext w:val="0"/>
        <w:keepLines w:val="0"/>
        <w:widowControl/>
        <w:suppressLineNumbers w:val="0"/>
        <w:spacing w:before="0" w:beforeAutospacing="0" w:after="0" w:afterAutospacing="0" w:line="600" w:lineRule="atLeast"/>
        <w:ind w:left="0" w:right="0" w:firstLine="645"/>
        <w:rPr>
          <w:rFonts w:hint="eastAsia" w:ascii="方正公文黑体" w:hAnsi="方正公文黑体" w:eastAsia="方正公文黑体" w:cs="方正公文黑体"/>
          <w:b/>
          <w:i w:val="0"/>
          <w:caps w:val="0"/>
          <w:color w:val="333333"/>
          <w:spacing w:val="0"/>
          <w:sz w:val="32"/>
          <w:szCs w:val="32"/>
          <w:shd w:val="clear" w:fill="FFFFFF"/>
        </w:rPr>
      </w:pPr>
      <w:r>
        <w:rPr>
          <w:rStyle w:val="6"/>
          <w:rFonts w:hint="eastAsia" w:ascii="方正仿宋简体" w:hAnsi="方正仿宋简体" w:eastAsia="方正仿宋简体" w:cs="方正仿宋简体"/>
          <w:i w:val="0"/>
          <w:iCs w:val="0"/>
          <w:caps w:val="0"/>
          <w:color w:val="000000"/>
          <w:spacing w:val="0"/>
          <w:sz w:val="31"/>
          <w:szCs w:val="31"/>
          <w:lang w:eastAsia="zh-CN"/>
        </w:rPr>
        <w:t>本报告</w:t>
      </w:r>
      <w:r>
        <w:rPr>
          <w:rStyle w:val="6"/>
          <w:rFonts w:hint="eastAsia" w:ascii="方正仿宋简体" w:hAnsi="方正仿宋简体" w:eastAsia="方正仿宋简体" w:cs="方正仿宋简体"/>
          <w:i w:val="0"/>
          <w:iCs w:val="0"/>
          <w:caps w:val="0"/>
          <w:color w:val="000000"/>
          <w:spacing w:val="0"/>
          <w:sz w:val="31"/>
          <w:szCs w:val="31"/>
        </w:rPr>
        <w:t>所列数据的统计期限自</w:t>
      </w:r>
      <w:r>
        <w:rPr>
          <w:rStyle w:val="6"/>
          <w:rFonts w:hint="default" w:ascii="Times New Roman" w:hAnsi="Times New Roman" w:eastAsia="sans-serif" w:cs="Times New Roman"/>
          <w:i w:val="0"/>
          <w:iCs w:val="0"/>
          <w:caps w:val="0"/>
          <w:color w:val="000000"/>
          <w:spacing w:val="0"/>
          <w:sz w:val="31"/>
          <w:szCs w:val="31"/>
        </w:rPr>
        <w:t>202</w:t>
      </w:r>
      <w:r>
        <w:rPr>
          <w:rStyle w:val="6"/>
          <w:rFonts w:hint="eastAsia" w:ascii="Times New Roman" w:hAnsi="Times New Roman" w:eastAsia="宋体" w:cs="Times New Roman"/>
          <w:i w:val="0"/>
          <w:iCs w:val="0"/>
          <w:caps w:val="0"/>
          <w:color w:val="000000"/>
          <w:spacing w:val="0"/>
          <w:sz w:val="31"/>
          <w:szCs w:val="31"/>
          <w:lang w:val="en-US" w:eastAsia="zh-CN"/>
        </w:rPr>
        <w:t>5</w:t>
      </w:r>
      <w:r>
        <w:rPr>
          <w:rStyle w:val="6"/>
          <w:rFonts w:hint="eastAsia" w:ascii="方正仿宋简体" w:hAnsi="方正仿宋简体" w:eastAsia="方正仿宋简体" w:cs="方正仿宋简体"/>
          <w:i w:val="0"/>
          <w:iCs w:val="0"/>
          <w:caps w:val="0"/>
          <w:color w:val="000000"/>
          <w:spacing w:val="0"/>
          <w:sz w:val="31"/>
          <w:szCs w:val="31"/>
        </w:rPr>
        <w:t>年</w:t>
      </w:r>
      <w:r>
        <w:rPr>
          <w:rStyle w:val="6"/>
          <w:rFonts w:hint="default" w:ascii="Times New Roman" w:hAnsi="Times New Roman" w:eastAsia="sans-serif" w:cs="Times New Roman"/>
          <w:i w:val="0"/>
          <w:iCs w:val="0"/>
          <w:caps w:val="0"/>
          <w:color w:val="000000"/>
          <w:spacing w:val="0"/>
          <w:sz w:val="31"/>
          <w:szCs w:val="31"/>
        </w:rPr>
        <w:t>1</w:t>
      </w:r>
      <w:r>
        <w:rPr>
          <w:rStyle w:val="6"/>
          <w:rFonts w:hint="eastAsia" w:ascii="方正仿宋简体" w:hAnsi="方正仿宋简体" w:eastAsia="方正仿宋简体" w:cs="方正仿宋简体"/>
          <w:i w:val="0"/>
          <w:iCs w:val="0"/>
          <w:caps w:val="0"/>
          <w:color w:val="000000"/>
          <w:spacing w:val="0"/>
          <w:sz w:val="31"/>
          <w:szCs w:val="31"/>
        </w:rPr>
        <w:t>月</w:t>
      </w:r>
      <w:r>
        <w:rPr>
          <w:rStyle w:val="6"/>
          <w:rFonts w:hint="default" w:ascii="Times New Roman" w:hAnsi="Times New Roman" w:eastAsia="sans-serif" w:cs="Times New Roman"/>
          <w:i w:val="0"/>
          <w:iCs w:val="0"/>
          <w:caps w:val="0"/>
          <w:color w:val="000000"/>
          <w:spacing w:val="0"/>
          <w:sz w:val="31"/>
          <w:szCs w:val="31"/>
        </w:rPr>
        <w:t>1</w:t>
      </w:r>
      <w:r>
        <w:rPr>
          <w:rStyle w:val="6"/>
          <w:rFonts w:hint="eastAsia" w:ascii="方正仿宋简体" w:hAnsi="方正仿宋简体" w:eastAsia="方正仿宋简体" w:cs="方正仿宋简体"/>
          <w:i w:val="0"/>
          <w:iCs w:val="0"/>
          <w:caps w:val="0"/>
          <w:color w:val="000000"/>
          <w:spacing w:val="0"/>
          <w:sz w:val="31"/>
          <w:szCs w:val="31"/>
        </w:rPr>
        <w:t>日起至</w:t>
      </w:r>
      <w:r>
        <w:rPr>
          <w:rStyle w:val="6"/>
          <w:rFonts w:hint="default" w:ascii="Times New Roman" w:hAnsi="Times New Roman" w:eastAsia="sans-serif" w:cs="Times New Roman"/>
          <w:i w:val="0"/>
          <w:iCs w:val="0"/>
          <w:caps w:val="0"/>
          <w:color w:val="000000"/>
          <w:spacing w:val="0"/>
          <w:sz w:val="31"/>
          <w:szCs w:val="31"/>
        </w:rPr>
        <w:t>202</w:t>
      </w:r>
      <w:r>
        <w:rPr>
          <w:rStyle w:val="6"/>
          <w:rFonts w:hint="eastAsia" w:ascii="Times New Roman" w:hAnsi="Times New Roman" w:eastAsia="宋体" w:cs="Times New Roman"/>
          <w:i w:val="0"/>
          <w:iCs w:val="0"/>
          <w:caps w:val="0"/>
          <w:color w:val="000000"/>
          <w:spacing w:val="0"/>
          <w:sz w:val="31"/>
          <w:szCs w:val="31"/>
          <w:lang w:val="en-US" w:eastAsia="zh-CN"/>
        </w:rPr>
        <w:t>5</w:t>
      </w:r>
      <w:r>
        <w:rPr>
          <w:rStyle w:val="6"/>
          <w:rFonts w:hint="eastAsia" w:ascii="方正仿宋简体" w:hAnsi="方正仿宋简体" w:eastAsia="方正仿宋简体" w:cs="方正仿宋简体"/>
          <w:i w:val="0"/>
          <w:iCs w:val="0"/>
          <w:caps w:val="0"/>
          <w:color w:val="000000"/>
          <w:spacing w:val="0"/>
          <w:sz w:val="31"/>
          <w:szCs w:val="31"/>
        </w:rPr>
        <w:t>年</w:t>
      </w:r>
      <w:r>
        <w:rPr>
          <w:rStyle w:val="6"/>
          <w:rFonts w:hint="default" w:ascii="Times New Roman" w:hAnsi="Times New Roman" w:eastAsia="sans-serif" w:cs="Times New Roman"/>
          <w:i w:val="0"/>
          <w:iCs w:val="0"/>
          <w:caps w:val="0"/>
          <w:color w:val="000000"/>
          <w:spacing w:val="0"/>
          <w:sz w:val="31"/>
          <w:szCs w:val="31"/>
        </w:rPr>
        <w:t>12</w:t>
      </w:r>
      <w:r>
        <w:rPr>
          <w:rStyle w:val="6"/>
          <w:rFonts w:hint="eastAsia" w:ascii="方正仿宋简体" w:hAnsi="方正仿宋简体" w:eastAsia="方正仿宋简体" w:cs="方正仿宋简体"/>
          <w:i w:val="0"/>
          <w:iCs w:val="0"/>
          <w:caps w:val="0"/>
          <w:color w:val="000000"/>
          <w:spacing w:val="0"/>
          <w:sz w:val="31"/>
          <w:szCs w:val="31"/>
        </w:rPr>
        <w:t>月</w:t>
      </w:r>
      <w:r>
        <w:rPr>
          <w:rStyle w:val="6"/>
          <w:rFonts w:hint="default" w:ascii="Times New Roman" w:hAnsi="Times New Roman" w:eastAsia="sans-serif" w:cs="Times New Roman"/>
          <w:i w:val="0"/>
          <w:iCs w:val="0"/>
          <w:caps w:val="0"/>
          <w:color w:val="000000"/>
          <w:spacing w:val="0"/>
          <w:sz w:val="31"/>
          <w:szCs w:val="31"/>
        </w:rPr>
        <w:t>31</w:t>
      </w:r>
      <w:r>
        <w:rPr>
          <w:rStyle w:val="6"/>
          <w:rFonts w:hint="eastAsia" w:ascii="方正仿宋简体" w:hAnsi="方正仿宋简体" w:eastAsia="方正仿宋简体" w:cs="方正仿宋简体"/>
          <w:i w:val="0"/>
          <w:iCs w:val="0"/>
          <w:caps w:val="0"/>
          <w:color w:val="000000"/>
          <w:spacing w:val="0"/>
          <w:sz w:val="31"/>
          <w:szCs w:val="31"/>
        </w:rPr>
        <w:t>日止。本报告电子版可在“中国·济宁”政府门户网站（http://bhdjq.jining.gov.cn/）查阅或下载</w:t>
      </w:r>
      <w:r>
        <w:rPr>
          <w:rStyle w:val="6"/>
          <w:rFonts w:hint="eastAsia" w:ascii="方正仿宋简体" w:hAnsi="方正仿宋简体" w:eastAsia="方正仿宋简体" w:cs="方正仿宋简体"/>
          <w:i w:val="0"/>
          <w:iCs w:val="0"/>
          <w:caps w:val="0"/>
          <w:color w:val="000000"/>
          <w:spacing w:val="0"/>
          <w:sz w:val="31"/>
          <w:szCs w:val="31"/>
          <w:lang w:eastAsia="zh-CN"/>
        </w:rPr>
        <w:t>。</w:t>
      </w:r>
      <w:r>
        <w:rPr>
          <w:rStyle w:val="6"/>
          <w:rFonts w:hint="eastAsia" w:ascii="方正仿宋简体" w:hAnsi="方正仿宋简体" w:eastAsia="方正仿宋简体" w:cs="方正仿宋简体"/>
          <w:i w:val="0"/>
          <w:iCs w:val="0"/>
          <w:caps w:val="0"/>
          <w:color w:val="000000"/>
          <w:spacing w:val="0"/>
          <w:sz w:val="31"/>
          <w:szCs w:val="31"/>
        </w:rPr>
        <w:t>如对本报告有疑问，请与</w:t>
      </w:r>
      <w:r>
        <w:rPr>
          <w:rStyle w:val="6"/>
          <w:rFonts w:hint="eastAsia" w:ascii="方正仿宋简体" w:hAnsi="方正仿宋简体" w:eastAsia="方正仿宋简体" w:cs="方正仿宋简体"/>
          <w:i w:val="0"/>
          <w:iCs w:val="0"/>
          <w:caps w:val="0"/>
          <w:color w:val="000000"/>
          <w:spacing w:val="0"/>
          <w:sz w:val="31"/>
          <w:szCs w:val="31"/>
          <w:lang w:eastAsia="zh-CN"/>
        </w:rPr>
        <w:t>区党工委政法委员会</w:t>
      </w:r>
      <w:r>
        <w:rPr>
          <w:rStyle w:val="6"/>
          <w:rFonts w:hint="eastAsia" w:ascii="方正仿宋简体" w:hAnsi="方正仿宋简体" w:eastAsia="方正仿宋简体" w:cs="方正仿宋简体"/>
          <w:i w:val="0"/>
          <w:iCs w:val="0"/>
          <w:caps w:val="0"/>
          <w:color w:val="000000"/>
          <w:spacing w:val="0"/>
          <w:sz w:val="31"/>
          <w:szCs w:val="31"/>
        </w:rPr>
        <w:t>综合科联系（地址：新城发展</w:t>
      </w:r>
      <w:r>
        <w:rPr>
          <w:rStyle w:val="6"/>
          <w:rFonts w:hint="default" w:ascii="Times New Roman" w:hAnsi="Times New Roman" w:eastAsia="sans-serif" w:cs="Times New Roman"/>
          <w:i w:val="0"/>
          <w:iCs w:val="0"/>
          <w:caps w:val="0"/>
          <w:color w:val="000000"/>
          <w:spacing w:val="0"/>
          <w:sz w:val="31"/>
          <w:szCs w:val="31"/>
        </w:rPr>
        <w:t>A</w:t>
      </w:r>
      <w:r>
        <w:rPr>
          <w:rStyle w:val="6"/>
          <w:rFonts w:hint="eastAsia" w:ascii="方正仿宋简体" w:hAnsi="方正仿宋简体" w:eastAsia="方正仿宋简体" w:cs="方正仿宋简体"/>
          <w:i w:val="0"/>
          <w:iCs w:val="0"/>
          <w:caps w:val="0"/>
          <w:color w:val="000000"/>
          <w:spacing w:val="0"/>
          <w:sz w:val="31"/>
          <w:szCs w:val="31"/>
        </w:rPr>
        <w:t>座</w:t>
      </w:r>
      <w:r>
        <w:rPr>
          <w:rStyle w:val="6"/>
          <w:rFonts w:hint="default" w:ascii="Times New Roman" w:hAnsi="Times New Roman" w:eastAsia="sans-serif" w:cs="Times New Roman"/>
          <w:i w:val="0"/>
          <w:iCs w:val="0"/>
          <w:caps w:val="0"/>
          <w:color w:val="000000"/>
          <w:spacing w:val="0"/>
          <w:sz w:val="31"/>
          <w:szCs w:val="31"/>
        </w:rPr>
        <w:t>1005</w:t>
      </w:r>
      <w:r>
        <w:rPr>
          <w:rStyle w:val="6"/>
          <w:rFonts w:hint="eastAsia" w:ascii="方正仿宋简体" w:hAnsi="方正仿宋简体" w:eastAsia="方正仿宋简体" w:cs="方正仿宋简体"/>
          <w:i w:val="0"/>
          <w:iCs w:val="0"/>
          <w:caps w:val="0"/>
          <w:color w:val="000000"/>
          <w:spacing w:val="0"/>
          <w:sz w:val="31"/>
          <w:szCs w:val="31"/>
        </w:rPr>
        <w:t>室，联系电话：</w:t>
      </w:r>
      <w:r>
        <w:rPr>
          <w:rStyle w:val="6"/>
          <w:rFonts w:hint="default" w:ascii="Times New Roman" w:hAnsi="Times New Roman" w:eastAsia="sans-serif" w:cs="Times New Roman"/>
          <w:i w:val="0"/>
          <w:iCs w:val="0"/>
          <w:caps w:val="0"/>
          <w:color w:val="000000"/>
          <w:spacing w:val="0"/>
          <w:sz w:val="31"/>
          <w:szCs w:val="31"/>
        </w:rPr>
        <w:t>0537-6537056</w:t>
      </w:r>
      <w:r>
        <w:rPr>
          <w:rStyle w:val="6"/>
          <w:rFonts w:hint="eastAsia" w:ascii="方正仿宋简体" w:hAnsi="方正仿宋简体" w:eastAsia="方正仿宋简体" w:cs="方正仿宋简体"/>
          <w:i w:val="0"/>
          <w:iCs w:val="0"/>
          <w:caps w:val="0"/>
          <w:color w:val="000000"/>
          <w:spacing w:val="0"/>
          <w:sz w:val="31"/>
          <w:szCs w:val="31"/>
        </w:rPr>
        <w:t>）。</w:t>
      </w:r>
    </w:p>
    <w:p w14:paraId="1A6295F6">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一、总体情况</w:t>
      </w:r>
    </w:p>
    <w:p w14:paraId="2361102A">
      <w:pPr>
        <w:keepNext w:val="0"/>
        <w:keepLines w:val="0"/>
        <w:widowControl/>
        <w:suppressLineNumbers w:val="0"/>
        <w:ind w:firstLine="643" w:firstLineChars="20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2025</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eastAsia="zh-CN"/>
        </w:rPr>
        <w:t>区</w:t>
      </w:r>
      <w:r>
        <w:rPr>
          <w:rFonts w:hint="default" w:ascii="Times New Roman" w:hAnsi="Times New Roman" w:eastAsia="方正仿宋简体" w:cs="Times New Roman"/>
          <w:b/>
          <w:bCs/>
          <w:sz w:val="32"/>
          <w:szCs w:val="32"/>
        </w:rPr>
        <w:t>政法委坚持以党的创新理论为指导，深入学习贯彻党的二十大及历次全会精神，全面贯彻习近平法治思想和总体国家安全观，紧紧围绕全</w:t>
      </w:r>
      <w:r>
        <w:rPr>
          <w:rFonts w:hint="eastAsia" w:ascii="Times New Roman" w:hAnsi="Times New Roman" w:eastAsia="方正仿宋简体" w:cs="Times New Roman"/>
          <w:b/>
          <w:bCs/>
          <w:sz w:val="32"/>
          <w:szCs w:val="32"/>
          <w:lang w:eastAsia="zh-CN"/>
        </w:rPr>
        <w:t>区</w:t>
      </w:r>
      <w:r>
        <w:rPr>
          <w:rFonts w:hint="default" w:ascii="Times New Roman" w:hAnsi="Times New Roman" w:eastAsia="方正仿宋简体" w:cs="Times New Roman"/>
          <w:b/>
          <w:bCs/>
          <w:sz w:val="32"/>
          <w:szCs w:val="32"/>
        </w:rPr>
        <w:t>中心工作和发展大局，忠诚履职、担当作为</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紧紧围绕</w:t>
      </w:r>
      <w:r>
        <w:rPr>
          <w:rFonts w:hint="eastAsia" w:ascii="Times New Roman" w:hAnsi="Times New Roman" w:eastAsia="方正仿宋简体" w:cs="Times New Roman"/>
          <w:b/>
          <w:bCs/>
          <w:sz w:val="32"/>
          <w:szCs w:val="32"/>
          <w:lang w:val="en-US" w:eastAsia="zh-CN"/>
        </w:rPr>
        <w:t>新区</w:t>
      </w:r>
      <w:r>
        <w:rPr>
          <w:rFonts w:hint="default" w:ascii="Times New Roman" w:hAnsi="Times New Roman" w:eastAsia="方正仿宋简体" w:cs="Times New Roman"/>
          <w:b/>
          <w:bCs/>
          <w:sz w:val="32"/>
          <w:szCs w:val="32"/>
          <w:lang w:val="en-US" w:eastAsia="zh-CN"/>
        </w:rPr>
        <w:t>经济社会发展大局和中心工作，坚持以“公开为常态、不公开为例外”原则，不断深化公开内容、创新公开形式、拓展公开渠道，政务公开工作的制度化、规范化、信息化水平显著提升，推动</w:t>
      </w:r>
      <w:r>
        <w:rPr>
          <w:rFonts w:hint="eastAsia" w:ascii="Times New Roman" w:hAnsi="Times New Roman" w:eastAsia="方正仿宋简体" w:cs="Times New Roman"/>
          <w:b/>
          <w:bCs/>
          <w:sz w:val="32"/>
          <w:szCs w:val="32"/>
          <w:lang w:val="en-US" w:eastAsia="zh-CN"/>
        </w:rPr>
        <w:t>新区</w:t>
      </w:r>
      <w:r>
        <w:rPr>
          <w:rFonts w:hint="default" w:ascii="Times New Roman" w:hAnsi="Times New Roman" w:eastAsia="方正仿宋简体" w:cs="Times New Roman"/>
          <w:b/>
          <w:bCs/>
          <w:sz w:val="32"/>
          <w:szCs w:val="32"/>
          <w:lang w:val="en-US" w:eastAsia="zh-CN"/>
        </w:rPr>
        <w:t>高质量发展发挥了积极作用。</w:t>
      </w:r>
    </w:p>
    <w:p w14:paraId="21AFECEB">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eastAsia="zh-CN"/>
        </w:rPr>
        <w:t>（一）主动公开情况</w:t>
      </w:r>
      <w:r>
        <w:rPr>
          <w:rFonts w:hint="eastAsia" w:ascii="方正楷体简体" w:hAnsi="Times New Roman" w:eastAsia="方正楷体简体" w:cs="Times New Roman"/>
          <w:b/>
          <w:color w:val="000000"/>
          <w:kern w:val="0"/>
          <w:sz w:val="32"/>
          <w:szCs w:val="32"/>
          <w:lang w:val="en-US" w:eastAsia="zh-CN"/>
        </w:rPr>
        <w:t xml:space="preserve"> </w:t>
      </w:r>
    </w:p>
    <w:p w14:paraId="5AC407B5">
      <w:pPr>
        <w:spacing w:line="590" w:lineRule="exact"/>
        <w:ind w:right="-105" w:rightChars="-50" w:firstLine="643" w:firstLineChars="200"/>
        <w:rPr>
          <w:rFonts w:hint="default"/>
          <w:color w:val="auto"/>
          <w:lang w:val="en-US" w:eastAsia="zh-CN"/>
        </w:rPr>
      </w:pPr>
      <w:r>
        <w:rPr>
          <w:rFonts w:hint="default" w:ascii="Times New Roman" w:hAnsi="Times New Roman" w:eastAsia="方正仿宋简体" w:cs="Times New Roman"/>
          <w:b/>
          <w:color w:val="000000"/>
          <w:kern w:val="0"/>
          <w:sz w:val="32"/>
          <w:szCs w:val="32"/>
        </w:rPr>
        <w:t>202</w:t>
      </w:r>
      <w:r>
        <w:rPr>
          <w:rFonts w:hint="eastAsia" w:ascii="Times New Roman" w:hAnsi="Times New Roman" w:eastAsia="方正仿宋简体" w:cs="Times New Roman"/>
          <w:b/>
          <w:color w:val="000000"/>
          <w:kern w:val="0"/>
          <w:sz w:val="32"/>
          <w:szCs w:val="32"/>
          <w:lang w:val="en-US" w:eastAsia="zh-CN"/>
        </w:rPr>
        <w:t>5</w:t>
      </w:r>
      <w:r>
        <w:rPr>
          <w:rFonts w:hint="default" w:ascii="Times New Roman" w:hAnsi="Times New Roman" w:eastAsia="方正仿宋简体" w:cs="Times New Roman"/>
          <w:b/>
          <w:color w:val="000000"/>
          <w:kern w:val="0"/>
          <w:sz w:val="32"/>
          <w:szCs w:val="32"/>
        </w:rPr>
        <w:t>年，区</w:t>
      </w:r>
      <w:r>
        <w:rPr>
          <w:rFonts w:hint="eastAsia" w:ascii="Times New Roman" w:hAnsi="Times New Roman" w:eastAsia="方正仿宋简体" w:cs="Times New Roman"/>
          <w:b/>
          <w:color w:val="000000"/>
          <w:kern w:val="0"/>
          <w:sz w:val="32"/>
          <w:szCs w:val="32"/>
          <w:lang w:eastAsia="zh-CN"/>
        </w:rPr>
        <w:t>党工委</w:t>
      </w:r>
      <w:r>
        <w:rPr>
          <w:rFonts w:hint="default" w:ascii="Times New Roman" w:hAnsi="Times New Roman" w:eastAsia="方正仿宋简体" w:cs="Times New Roman"/>
          <w:b/>
          <w:color w:val="000000"/>
          <w:kern w:val="0"/>
          <w:sz w:val="32"/>
          <w:szCs w:val="32"/>
          <w:lang w:eastAsia="zh-CN"/>
        </w:rPr>
        <w:t>政法</w:t>
      </w:r>
      <w:r>
        <w:rPr>
          <w:rFonts w:hint="default" w:ascii="Times New Roman" w:hAnsi="Times New Roman" w:eastAsia="方正仿宋简体" w:cs="Times New Roman"/>
          <w:b/>
          <w:color w:val="000000"/>
          <w:kern w:val="0"/>
          <w:sz w:val="32"/>
          <w:szCs w:val="32"/>
          <w:lang w:val="en-US" w:eastAsia="zh-CN"/>
        </w:rPr>
        <w:t>委</w:t>
      </w:r>
      <w:r>
        <w:rPr>
          <w:rFonts w:hint="eastAsia" w:ascii="Times New Roman" w:hAnsi="Times New Roman" w:eastAsia="方正仿宋简体" w:cs="Times New Roman"/>
          <w:b/>
          <w:color w:val="000000"/>
          <w:kern w:val="0"/>
          <w:sz w:val="32"/>
          <w:szCs w:val="32"/>
          <w:lang w:val="en-US" w:eastAsia="zh-CN"/>
        </w:rPr>
        <w:t>员会</w:t>
      </w:r>
      <w:r>
        <w:rPr>
          <w:rFonts w:hint="default" w:ascii="Times New Roman" w:hAnsi="Times New Roman" w:eastAsia="方正仿宋简体" w:cs="Times New Roman"/>
          <w:b/>
          <w:color w:val="000000"/>
          <w:kern w:val="0"/>
          <w:sz w:val="32"/>
          <w:szCs w:val="32"/>
          <w:lang w:val="en-US" w:eastAsia="zh-CN"/>
        </w:rPr>
        <w:t>在济宁市太白湖新区管理委员会政府信息公开门户网站主动公开政府信息</w:t>
      </w:r>
      <w:r>
        <w:rPr>
          <w:rFonts w:hint="default" w:ascii="Times New Roman" w:hAnsi="Times New Roman" w:eastAsia="方正仿宋简体" w:cs="Times New Roman"/>
          <w:b/>
          <w:color w:val="auto"/>
          <w:kern w:val="0"/>
          <w:sz w:val="32"/>
          <w:szCs w:val="32"/>
          <w:highlight w:val="none"/>
          <w:lang w:val="en-US" w:eastAsia="zh-CN"/>
        </w:rPr>
        <w:t>共</w:t>
      </w:r>
      <w:r>
        <w:rPr>
          <w:rFonts w:hint="eastAsia" w:ascii="Times New Roman" w:hAnsi="Times New Roman" w:eastAsia="方正仿宋简体" w:cs="Times New Roman"/>
          <w:b/>
          <w:color w:val="auto"/>
          <w:kern w:val="0"/>
          <w:sz w:val="32"/>
          <w:szCs w:val="32"/>
          <w:highlight w:val="none"/>
          <w:lang w:val="en-US" w:eastAsia="zh-CN"/>
        </w:rPr>
        <w:t>14</w:t>
      </w:r>
      <w:r>
        <w:rPr>
          <w:rFonts w:hint="default" w:ascii="Times New Roman" w:hAnsi="Times New Roman" w:eastAsia="方正仿宋简体" w:cs="Times New Roman"/>
          <w:b/>
          <w:color w:val="auto"/>
          <w:kern w:val="0"/>
          <w:sz w:val="32"/>
          <w:szCs w:val="32"/>
          <w:highlight w:val="none"/>
          <w:lang w:val="en-US" w:eastAsia="zh-CN"/>
        </w:rPr>
        <w:t>条。</w:t>
      </w:r>
      <w:r>
        <w:rPr>
          <w:rFonts w:hint="eastAsia" w:ascii="Times New Roman" w:hAnsi="Times New Roman" w:eastAsia="方正仿宋简体" w:cs="Times New Roman"/>
          <w:b/>
          <w:color w:val="auto"/>
          <w:kern w:val="0"/>
          <w:sz w:val="32"/>
          <w:szCs w:val="32"/>
          <w:lang w:eastAsia="zh-CN"/>
        </w:rPr>
        <w:t>区党工委政法委员会</w:t>
      </w:r>
      <w:r>
        <w:rPr>
          <w:rFonts w:hint="default" w:ascii="Times New Roman" w:hAnsi="Times New Roman" w:eastAsia="方正仿宋简体" w:cs="Times New Roman"/>
          <w:b/>
          <w:color w:val="auto"/>
          <w:kern w:val="0"/>
          <w:sz w:val="32"/>
          <w:szCs w:val="32"/>
          <w:lang w:eastAsia="zh-CN"/>
        </w:rPr>
        <w:t>按照《条例》规定的公开范围，除太白湖新区门户网站外，还通过微信公众号发文</w:t>
      </w:r>
      <w:r>
        <w:rPr>
          <w:rFonts w:hint="eastAsia" w:ascii="Times New Roman" w:hAnsi="Times New Roman" w:eastAsia="方正仿宋简体" w:cs="Times New Roman"/>
          <w:b/>
          <w:color w:val="auto"/>
          <w:kern w:val="0"/>
          <w:sz w:val="32"/>
          <w:szCs w:val="32"/>
          <w:lang w:val="en-US" w:eastAsia="zh-CN"/>
        </w:rPr>
        <w:t>19</w:t>
      </w:r>
      <w:r>
        <w:rPr>
          <w:rFonts w:hint="default" w:ascii="Times New Roman" w:hAnsi="Times New Roman" w:eastAsia="方正仿宋简体" w:cs="Times New Roman"/>
          <w:b/>
          <w:color w:val="auto"/>
          <w:kern w:val="0"/>
          <w:sz w:val="32"/>
          <w:szCs w:val="32"/>
          <w:lang w:val="en-US" w:eastAsia="zh-CN"/>
        </w:rPr>
        <w:t>篇，</w:t>
      </w:r>
      <w:r>
        <w:rPr>
          <w:rFonts w:hint="default" w:ascii="Times New Roman" w:hAnsi="Times New Roman" w:eastAsia="方正仿宋简体" w:cs="Times New Roman"/>
          <w:b/>
          <w:color w:val="auto"/>
          <w:kern w:val="0"/>
          <w:sz w:val="32"/>
          <w:szCs w:val="32"/>
          <w:lang w:eastAsia="zh-CN"/>
        </w:rPr>
        <w:t>报刊、广播、电视等新闻媒体发布</w:t>
      </w:r>
      <w:r>
        <w:rPr>
          <w:rFonts w:hint="eastAsia" w:ascii="Times New Roman" w:hAnsi="Times New Roman" w:eastAsia="方正仿宋简体" w:cs="Times New Roman"/>
          <w:b/>
          <w:color w:val="auto"/>
          <w:kern w:val="0"/>
          <w:sz w:val="32"/>
          <w:szCs w:val="32"/>
          <w:lang w:val="en-US" w:eastAsia="zh-CN"/>
        </w:rPr>
        <w:t>50</w:t>
      </w:r>
      <w:r>
        <w:rPr>
          <w:rFonts w:hint="default" w:ascii="Times New Roman" w:hAnsi="Times New Roman" w:eastAsia="方正仿宋简体" w:cs="Times New Roman"/>
          <w:b/>
          <w:color w:val="auto"/>
          <w:kern w:val="0"/>
          <w:sz w:val="32"/>
          <w:szCs w:val="32"/>
          <w:lang w:val="en-US" w:eastAsia="zh-CN"/>
        </w:rPr>
        <w:t>条。</w:t>
      </w:r>
    </w:p>
    <w:p w14:paraId="7B6C8849">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default" w:ascii="方正楷体简体" w:hAnsi="Times New Roman" w:eastAsia="方正楷体简体" w:cs="Times New Roman"/>
          <w:b/>
          <w:color w:val="000000"/>
          <w:kern w:val="0"/>
          <w:sz w:val="32"/>
          <w:szCs w:val="32"/>
          <w:lang w:eastAsia="zh-CN"/>
        </w:rPr>
        <w:t>（二）依申请公开情况</w:t>
      </w:r>
      <w:r>
        <w:rPr>
          <w:rFonts w:hint="eastAsia" w:ascii="方正楷体简体" w:hAnsi="Times New Roman" w:eastAsia="方正楷体简体" w:cs="Times New Roman"/>
          <w:b/>
          <w:color w:val="000000"/>
          <w:kern w:val="0"/>
          <w:sz w:val="32"/>
          <w:szCs w:val="32"/>
          <w:lang w:val="en-US" w:eastAsia="zh-CN"/>
        </w:rPr>
        <w:t xml:space="preserve">    </w:t>
      </w:r>
    </w:p>
    <w:p w14:paraId="338C20C4">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default" w:ascii="Times New Roman" w:hAnsi="Times New Roman" w:eastAsia="方正仿宋简体" w:cs="Times New Roman"/>
          <w:b/>
          <w:color w:val="000000"/>
          <w:kern w:val="0"/>
          <w:sz w:val="32"/>
          <w:szCs w:val="32"/>
          <w:lang w:val="en-US" w:eastAsia="zh-CN"/>
        </w:rPr>
        <w:t>202</w:t>
      </w:r>
      <w:r>
        <w:rPr>
          <w:rFonts w:hint="eastAsia" w:ascii="Times New Roman" w:hAnsi="Times New Roman" w:eastAsia="方正仿宋简体" w:cs="Times New Roman"/>
          <w:b/>
          <w:color w:val="000000"/>
          <w:kern w:val="0"/>
          <w:sz w:val="32"/>
          <w:szCs w:val="32"/>
          <w:lang w:val="en-US" w:eastAsia="zh-CN"/>
        </w:rPr>
        <w:t>5</w:t>
      </w:r>
      <w:r>
        <w:rPr>
          <w:rFonts w:hint="default" w:ascii="Times New Roman" w:hAnsi="Times New Roman" w:eastAsia="方正仿宋简体" w:cs="Times New Roman"/>
          <w:b/>
          <w:color w:val="000000"/>
          <w:kern w:val="0"/>
          <w:sz w:val="32"/>
          <w:szCs w:val="32"/>
          <w:lang w:val="en-US" w:eastAsia="zh-CN"/>
        </w:rPr>
        <w:t>年，</w:t>
      </w:r>
      <w:r>
        <w:rPr>
          <w:rFonts w:hint="eastAsia" w:ascii="Times New Roman" w:hAnsi="Times New Roman" w:eastAsia="方正仿宋简体" w:cs="Times New Roman"/>
          <w:b/>
          <w:color w:val="000000"/>
          <w:kern w:val="0"/>
          <w:sz w:val="32"/>
          <w:szCs w:val="32"/>
          <w:lang w:val="en-US" w:eastAsia="zh-CN"/>
        </w:rPr>
        <w:t>区党工委政法委员会</w:t>
      </w:r>
      <w:r>
        <w:rPr>
          <w:rFonts w:hint="default" w:ascii="Times New Roman" w:hAnsi="Times New Roman" w:eastAsia="方正仿宋简体" w:cs="Times New Roman"/>
          <w:b/>
          <w:color w:val="000000"/>
          <w:kern w:val="0"/>
          <w:sz w:val="32"/>
          <w:szCs w:val="32"/>
          <w:lang w:val="en-US" w:eastAsia="zh-CN"/>
        </w:rPr>
        <w:t>未收到公民、法人或其他组织提出的政府信息公开申请。</w:t>
      </w:r>
    </w:p>
    <w:p w14:paraId="503FD4BD">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（三）政府信息管理情况</w:t>
      </w:r>
    </w:p>
    <w:p w14:paraId="0969441F">
      <w:pPr>
        <w:spacing w:line="59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eastAsia="zh-CN"/>
        </w:rPr>
        <w:t>区党工委政法委员会</w:t>
      </w:r>
      <w:r>
        <w:rPr>
          <w:rFonts w:hint="eastAsia" w:ascii="Times New Roman" w:hAnsi="Times New Roman" w:eastAsia="方正仿宋简体" w:cs="Times New Roman"/>
          <w:b/>
          <w:color w:val="000000"/>
          <w:kern w:val="0"/>
          <w:sz w:val="32"/>
          <w:szCs w:val="32"/>
          <w:lang w:val="en-US" w:eastAsia="zh-CN"/>
        </w:rPr>
        <w:t>高度重视政府信息公开工作，严格执行“谁主管谁负责、谁发布谁负责”的工作准则，细化分级审核流程，严格落实“三审三校”管理要求，持续开展敏感词汇、错别字、无效链接、涉及个人隐私、国家秘密、工作秘密等信息排查工作，对发现的错敏信息及时整改到位，加强信息风险排查，坚决杜绝涉密信息、不实信息上网发布，切实保障公开内容的合法性与准确性。</w:t>
      </w:r>
    </w:p>
    <w:p w14:paraId="5CD77C0C">
      <w:pPr>
        <w:spacing w:line="590" w:lineRule="exact"/>
        <w:ind w:right="-105" w:rightChars="-50" w:firstLine="643" w:firstLineChars="200"/>
        <w:rPr>
          <w:rFonts w:hint="default" w:ascii="方正楷体简体" w:hAnsi="Times New Roman" w:eastAsia="方正楷体简体" w:cs="Times New Roman"/>
          <w:b/>
          <w:color w:val="000000"/>
          <w:kern w:val="0"/>
          <w:sz w:val="32"/>
          <w:szCs w:val="32"/>
          <w:highlight w:val="none"/>
          <w:lang w:eastAsia="zh-CN"/>
        </w:rPr>
      </w:pPr>
      <w:r>
        <w:rPr>
          <w:rFonts w:hint="default" w:ascii="方正楷体简体" w:hAnsi="Times New Roman" w:eastAsia="方正楷体简体" w:cs="Times New Roman"/>
          <w:b/>
          <w:color w:val="000000"/>
          <w:kern w:val="0"/>
          <w:sz w:val="32"/>
          <w:szCs w:val="32"/>
          <w:highlight w:val="none"/>
          <w:lang w:eastAsia="zh-CN"/>
        </w:rPr>
        <w:t>（四）政府信息公开平台建设情况</w:t>
      </w:r>
    </w:p>
    <w:p w14:paraId="5292D7C0">
      <w:pPr>
        <w:spacing w:line="59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专人负责</w:t>
      </w:r>
      <w:bookmarkStart w:id="10" w:name="_GoBack"/>
      <w:bookmarkEnd w:id="10"/>
      <w:r>
        <w:rPr>
          <w:rFonts w:hint="eastAsia" w:ascii="Times New Roman" w:hAnsi="Times New Roman" w:eastAsia="方正仿宋简体" w:cs="Times New Roman"/>
          <w:b/>
          <w:color w:val="000000"/>
          <w:kern w:val="0"/>
          <w:sz w:val="32"/>
          <w:szCs w:val="32"/>
          <w:lang w:val="en-US" w:eastAsia="zh-CN"/>
        </w:rPr>
        <w:t>做好日常信息发布维护，做到及时更新公开目录，确保公开信息准确无误、合规合法。</w:t>
      </w:r>
    </w:p>
    <w:p w14:paraId="5DC7399B">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val="en-US" w:eastAsia="zh-CN"/>
        </w:rPr>
        <w:t>（五）监督保障情况</w:t>
      </w:r>
    </w:p>
    <w:p w14:paraId="50869171">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区党工委政法委员会</w:t>
      </w:r>
      <w:r>
        <w:rPr>
          <w:rFonts w:hint="default" w:ascii="Times New Roman" w:hAnsi="Times New Roman" w:eastAsia="方正仿宋简体" w:cs="Times New Roman"/>
          <w:b/>
          <w:color w:val="000000"/>
          <w:kern w:val="0"/>
          <w:sz w:val="32"/>
          <w:szCs w:val="32"/>
          <w:lang w:val="en-US" w:eastAsia="zh-CN"/>
        </w:rPr>
        <w:t>成立了以一把手为组长，其他党</w:t>
      </w:r>
      <w:r>
        <w:rPr>
          <w:rFonts w:hint="eastAsia" w:ascii="Times New Roman" w:hAnsi="Times New Roman" w:eastAsia="方正仿宋简体" w:cs="Times New Roman"/>
          <w:b/>
          <w:color w:val="000000"/>
          <w:kern w:val="0"/>
          <w:sz w:val="32"/>
          <w:szCs w:val="32"/>
          <w:lang w:val="en-US" w:eastAsia="zh-CN"/>
        </w:rPr>
        <w:t>支部</w:t>
      </w:r>
      <w:r>
        <w:rPr>
          <w:rFonts w:hint="default" w:ascii="Times New Roman" w:hAnsi="Times New Roman" w:eastAsia="方正仿宋简体" w:cs="Times New Roman"/>
          <w:b/>
          <w:color w:val="000000"/>
          <w:kern w:val="0"/>
          <w:sz w:val="32"/>
          <w:szCs w:val="32"/>
          <w:lang w:val="en-US" w:eastAsia="zh-CN"/>
        </w:rPr>
        <w:t>成员为副组长，各</w:t>
      </w:r>
      <w:r>
        <w:rPr>
          <w:rFonts w:hint="eastAsia" w:ascii="Times New Roman" w:hAnsi="Times New Roman" w:eastAsia="方正仿宋简体" w:cs="Times New Roman"/>
          <w:b/>
          <w:color w:val="000000"/>
          <w:kern w:val="0"/>
          <w:sz w:val="32"/>
          <w:szCs w:val="32"/>
          <w:lang w:val="en-US" w:eastAsia="zh-CN"/>
        </w:rPr>
        <w:t>科</w:t>
      </w:r>
      <w:r>
        <w:rPr>
          <w:rFonts w:hint="default" w:ascii="Times New Roman" w:hAnsi="Times New Roman" w:eastAsia="方正仿宋简体" w:cs="Times New Roman"/>
          <w:b/>
          <w:color w:val="000000"/>
          <w:kern w:val="0"/>
          <w:sz w:val="32"/>
          <w:szCs w:val="32"/>
          <w:lang w:val="en-US" w:eastAsia="zh-CN"/>
        </w:rPr>
        <w:t>负责人为成员的政府信息公开领导小组，把政府信息公开作为工作的重要组成部分，政务公开要求贯穿日常工作全过程。组织工作人员开展了政策解读、保密审查等专题培训，全面提升工作人员专业素养与责任担当，确保政府信息公开工作落地见效。</w:t>
      </w:r>
    </w:p>
    <w:p w14:paraId="32A42CF4">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二、主动公开政府信息情况</w:t>
      </w:r>
    </w:p>
    <w:tbl>
      <w:tblPr>
        <w:tblStyle w:val="4"/>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682"/>
        <w:gridCol w:w="2133"/>
        <w:gridCol w:w="2216"/>
        <w:gridCol w:w="2054"/>
      </w:tblGrid>
      <w:tr w14:paraId="11EC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14:paraId="71CD0390">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14:paraId="6F44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07E19C55">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14:paraId="66CE83E1">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14:paraId="53CF3D30">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2054" w:type="dxa"/>
            <w:shd w:val="clear" w:color="auto" w:fill="auto"/>
            <w:noWrap w:val="0"/>
            <w:tcMar>
              <w:left w:w="57" w:type="dxa"/>
              <w:right w:w="57" w:type="dxa"/>
            </w:tcMar>
            <w:vAlign w:val="center"/>
          </w:tcPr>
          <w:p w14:paraId="4227FEA3">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14:paraId="7233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27EBF833">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14:paraId="47B8915D">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c>
          <w:tcPr>
            <w:tcW w:w="2216" w:type="dxa"/>
            <w:shd w:val="clear" w:color="auto" w:fill="auto"/>
            <w:noWrap w:val="0"/>
            <w:tcMar>
              <w:left w:w="57" w:type="dxa"/>
              <w:right w:w="57" w:type="dxa"/>
            </w:tcMar>
            <w:vAlign w:val="center"/>
          </w:tcPr>
          <w:p w14:paraId="3D116A1E">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054" w:type="dxa"/>
            <w:shd w:val="clear" w:color="auto" w:fill="auto"/>
            <w:noWrap w:val="0"/>
            <w:tcMar>
              <w:left w:w="57" w:type="dxa"/>
              <w:right w:w="57" w:type="dxa"/>
            </w:tcMar>
            <w:vAlign w:val="center"/>
          </w:tcPr>
          <w:p w14:paraId="767B341C">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14:paraId="5C7D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1E976CF0">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14:paraId="63BC68E8">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14:paraId="114CF723">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054" w:type="dxa"/>
            <w:shd w:val="clear" w:color="auto" w:fill="auto"/>
            <w:noWrap w:val="0"/>
            <w:tcMar>
              <w:left w:w="57" w:type="dxa"/>
              <w:right w:w="57" w:type="dxa"/>
            </w:tcMar>
            <w:vAlign w:val="center"/>
          </w:tcPr>
          <w:p w14:paraId="542F75E4">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14:paraId="3925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14:paraId="777086C9">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14:paraId="4D18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52C6209B">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14:paraId="11E49691">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14:paraId="3920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28407578">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403" w:type="dxa"/>
            <w:gridSpan w:val="3"/>
            <w:shd w:val="clear" w:color="auto" w:fill="auto"/>
            <w:noWrap w:val="0"/>
            <w:tcMar>
              <w:left w:w="57" w:type="dxa"/>
              <w:right w:w="57" w:type="dxa"/>
            </w:tcMar>
            <w:vAlign w:val="center"/>
          </w:tcPr>
          <w:p w14:paraId="6A880A5D">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14:paraId="59D8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14:paraId="2FB41409">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14:paraId="17FB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2BD9B6ED">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14:paraId="742956F7">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14:paraId="4789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2CE1C922">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403" w:type="dxa"/>
            <w:gridSpan w:val="3"/>
            <w:shd w:val="clear" w:color="auto" w:fill="auto"/>
            <w:noWrap w:val="0"/>
            <w:tcMar>
              <w:left w:w="57" w:type="dxa"/>
              <w:right w:w="57" w:type="dxa"/>
            </w:tcMar>
            <w:vAlign w:val="center"/>
          </w:tcPr>
          <w:p w14:paraId="7024208B">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14:paraId="2D7B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7F8347A6">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403" w:type="dxa"/>
            <w:gridSpan w:val="3"/>
            <w:shd w:val="clear" w:color="auto" w:fill="auto"/>
            <w:noWrap w:val="0"/>
            <w:tcMar>
              <w:left w:w="57" w:type="dxa"/>
              <w:right w:w="57" w:type="dxa"/>
            </w:tcMar>
            <w:vAlign w:val="center"/>
          </w:tcPr>
          <w:p w14:paraId="4AC568A5">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14:paraId="5D3A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14:paraId="0F170F99">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14:paraId="5665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3243B07A">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14:paraId="3A643805">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14:paraId="12D3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22C1D2DB">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403" w:type="dxa"/>
            <w:gridSpan w:val="3"/>
            <w:shd w:val="clear" w:color="auto" w:fill="auto"/>
            <w:noWrap w:val="0"/>
            <w:tcMar>
              <w:left w:w="57" w:type="dxa"/>
              <w:right w:w="57" w:type="dxa"/>
            </w:tcMar>
            <w:vAlign w:val="center"/>
          </w:tcPr>
          <w:p w14:paraId="173D6B5E">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14:paraId="3FED5FB9">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lang w:val="en-US" w:eastAsia="zh-CN"/>
        </w:rPr>
      </w:pPr>
      <w:r>
        <w:rPr>
          <w:rFonts w:hint="eastAsia" w:ascii="方正黑体简体" w:hAnsi="Times New Roman" w:eastAsia="方正黑体简体" w:cs="Times New Roman"/>
          <w:b/>
          <w:color w:val="000000"/>
          <w:kern w:val="0"/>
          <w:sz w:val="32"/>
          <w:szCs w:val="32"/>
          <w:lang w:val="en-US" w:eastAsia="zh-CN"/>
        </w:rPr>
        <w:t>三、收到和处理政府信息公开申请情况</w:t>
      </w:r>
    </w:p>
    <w:tbl>
      <w:tblPr>
        <w:tblStyle w:val="4"/>
        <w:tblW w:w="90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13"/>
        <w:gridCol w:w="1045"/>
        <w:gridCol w:w="2976"/>
        <w:gridCol w:w="742"/>
        <w:gridCol w:w="545"/>
        <w:gridCol w:w="5"/>
        <w:gridCol w:w="535"/>
        <w:gridCol w:w="598"/>
        <w:gridCol w:w="600"/>
        <w:gridCol w:w="425"/>
        <w:gridCol w:w="714"/>
      </w:tblGrid>
      <w:tr w14:paraId="5F5E2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934" w:type="dxa"/>
            <w:gridSpan w:val="3"/>
            <w:vMerge w:val="restart"/>
            <w:shd w:val="clear" w:color="auto" w:fill="auto"/>
            <w:tcMar>
              <w:left w:w="108" w:type="dxa"/>
              <w:right w:w="108" w:type="dxa"/>
            </w:tcMar>
            <w:vAlign w:val="center"/>
          </w:tcPr>
          <w:p w14:paraId="08C2BED5">
            <w:pPr>
              <w:widowControl/>
              <w:jc w:val="center"/>
              <w:rPr>
                <w:rFonts w:ascii="楷体_GB2312" w:hAnsi="黑体" w:eastAsia="楷体_GB2312"/>
                <w:b/>
                <w:bCs/>
                <w:kern w:val="0"/>
                <w:szCs w:val="21"/>
              </w:rPr>
            </w:pPr>
            <w:r>
              <w:rPr>
                <w:rFonts w:hint="eastAsia" w:ascii="楷体_GB2312" w:hAnsi="黑体" w:eastAsia="楷体_GB2312"/>
                <w:b/>
                <w:bCs/>
                <w:kern w:val="0"/>
                <w:szCs w:val="21"/>
              </w:rPr>
              <w:t>（本列数据的勾稽关系为：第一项加第二项之和，</w:t>
            </w:r>
          </w:p>
          <w:p w14:paraId="4051E668">
            <w:pPr>
              <w:widowControl/>
              <w:jc w:val="center"/>
              <w:rPr>
                <w:rFonts w:ascii="仿宋_GB2312" w:hAnsi="Times New Roman" w:eastAsia="仿宋_GB2312"/>
                <w:b/>
                <w:bCs/>
                <w:szCs w:val="21"/>
              </w:rPr>
            </w:pPr>
            <w:r>
              <w:rPr>
                <w:rFonts w:hint="eastAsia" w:ascii="楷体_GB2312" w:hAnsi="黑体" w:eastAsia="楷体_GB2312"/>
                <w:b/>
                <w:bCs/>
                <w:kern w:val="0"/>
                <w:szCs w:val="21"/>
              </w:rPr>
              <w:t>等于第三项加第四项之和）</w:t>
            </w:r>
          </w:p>
        </w:tc>
        <w:tc>
          <w:tcPr>
            <w:tcW w:w="4164" w:type="dxa"/>
            <w:gridSpan w:val="8"/>
            <w:shd w:val="clear" w:color="auto" w:fill="auto"/>
            <w:tcMar>
              <w:left w:w="108" w:type="dxa"/>
              <w:right w:w="108" w:type="dxa"/>
            </w:tcMar>
            <w:vAlign w:val="center"/>
          </w:tcPr>
          <w:p w14:paraId="7BBFF584">
            <w:pPr>
              <w:widowControl/>
              <w:spacing w:line="320" w:lineRule="exact"/>
              <w:jc w:val="center"/>
              <w:rPr>
                <w:rFonts w:ascii="黑体" w:hAnsi="黑体" w:eastAsia="黑体"/>
                <w:b/>
                <w:bCs/>
                <w:szCs w:val="21"/>
              </w:rPr>
            </w:pPr>
            <w:r>
              <w:rPr>
                <w:rFonts w:hint="eastAsia" w:ascii="黑体" w:hAnsi="黑体" w:eastAsia="黑体"/>
                <w:b/>
                <w:bCs/>
                <w:kern w:val="0"/>
                <w:szCs w:val="21"/>
              </w:rPr>
              <w:t>申请人情况</w:t>
            </w:r>
          </w:p>
        </w:tc>
      </w:tr>
      <w:tr w14:paraId="1680D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934" w:type="dxa"/>
            <w:gridSpan w:val="3"/>
            <w:vMerge w:val="continue"/>
            <w:shd w:val="clear" w:color="auto" w:fill="auto"/>
            <w:tcMar>
              <w:left w:w="108" w:type="dxa"/>
              <w:right w:w="108" w:type="dxa"/>
            </w:tcMar>
            <w:vAlign w:val="center"/>
          </w:tcPr>
          <w:p w14:paraId="004C8357">
            <w:pPr>
              <w:jc w:val="center"/>
              <w:rPr>
                <w:rFonts w:ascii="仿宋_GB2312" w:hAnsi="Times New Roman" w:eastAsia="仿宋_GB2312"/>
                <w:b/>
                <w:bCs/>
                <w:szCs w:val="21"/>
              </w:rPr>
            </w:pPr>
          </w:p>
        </w:tc>
        <w:tc>
          <w:tcPr>
            <w:tcW w:w="742" w:type="dxa"/>
            <w:vMerge w:val="restart"/>
            <w:shd w:val="clear" w:color="auto" w:fill="auto"/>
            <w:tcMar>
              <w:left w:w="108" w:type="dxa"/>
              <w:right w:w="108" w:type="dxa"/>
            </w:tcMar>
            <w:vAlign w:val="center"/>
          </w:tcPr>
          <w:p w14:paraId="6D2D1198">
            <w:pPr>
              <w:widowControl/>
              <w:jc w:val="center"/>
              <w:rPr>
                <w:rFonts w:ascii="黑体" w:hAnsi="黑体" w:eastAsia="黑体"/>
                <w:b/>
                <w:bCs/>
                <w:szCs w:val="21"/>
              </w:rPr>
            </w:pPr>
            <w:r>
              <w:rPr>
                <w:rFonts w:hint="eastAsia" w:ascii="黑体" w:hAnsi="黑体" w:eastAsia="黑体"/>
                <w:b/>
                <w:bCs/>
                <w:kern w:val="0"/>
                <w:szCs w:val="21"/>
              </w:rPr>
              <w:t>自然人</w:t>
            </w:r>
          </w:p>
        </w:tc>
        <w:tc>
          <w:tcPr>
            <w:tcW w:w="2708" w:type="dxa"/>
            <w:gridSpan w:val="6"/>
            <w:shd w:val="clear" w:color="auto" w:fill="auto"/>
            <w:tcMar>
              <w:left w:w="108" w:type="dxa"/>
              <w:right w:w="108" w:type="dxa"/>
            </w:tcMar>
            <w:vAlign w:val="center"/>
          </w:tcPr>
          <w:p w14:paraId="0C5401DD">
            <w:pPr>
              <w:widowControl/>
              <w:spacing w:line="320" w:lineRule="exact"/>
              <w:jc w:val="center"/>
              <w:rPr>
                <w:rFonts w:ascii="黑体" w:hAnsi="黑体" w:eastAsia="黑体"/>
                <w:b/>
                <w:bCs/>
                <w:szCs w:val="21"/>
              </w:rPr>
            </w:pPr>
            <w:r>
              <w:rPr>
                <w:rFonts w:hint="eastAsia" w:ascii="黑体" w:hAnsi="黑体" w:eastAsia="黑体"/>
                <w:b/>
                <w:bCs/>
                <w:kern w:val="0"/>
                <w:szCs w:val="21"/>
              </w:rPr>
              <w:t>法人或其他组织</w:t>
            </w:r>
          </w:p>
        </w:tc>
        <w:tc>
          <w:tcPr>
            <w:tcW w:w="714" w:type="dxa"/>
            <w:vMerge w:val="restart"/>
            <w:shd w:val="clear" w:color="auto" w:fill="auto"/>
            <w:tcMar>
              <w:left w:w="108" w:type="dxa"/>
              <w:right w:w="108" w:type="dxa"/>
            </w:tcMar>
            <w:vAlign w:val="center"/>
          </w:tcPr>
          <w:p w14:paraId="2B3DC6A0">
            <w:pPr>
              <w:widowControl/>
              <w:jc w:val="center"/>
              <w:rPr>
                <w:rFonts w:ascii="黑体" w:hAnsi="黑体" w:eastAsia="黑体"/>
                <w:b/>
                <w:bCs/>
                <w:szCs w:val="21"/>
              </w:rPr>
            </w:pPr>
            <w:r>
              <w:rPr>
                <w:rFonts w:hint="eastAsia" w:ascii="黑体" w:hAnsi="黑体" w:eastAsia="黑体"/>
                <w:b/>
                <w:bCs/>
                <w:kern w:val="0"/>
                <w:szCs w:val="21"/>
              </w:rPr>
              <w:t>总计</w:t>
            </w:r>
          </w:p>
        </w:tc>
      </w:tr>
      <w:tr w14:paraId="1DFEE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934" w:type="dxa"/>
            <w:gridSpan w:val="3"/>
            <w:vMerge w:val="continue"/>
            <w:shd w:val="clear" w:color="auto" w:fill="auto"/>
            <w:tcMar>
              <w:left w:w="108" w:type="dxa"/>
              <w:right w:w="108" w:type="dxa"/>
            </w:tcMar>
            <w:vAlign w:val="center"/>
          </w:tcPr>
          <w:p w14:paraId="7FB4A730">
            <w:pPr>
              <w:jc w:val="center"/>
              <w:rPr>
                <w:rFonts w:ascii="仿宋_GB2312" w:hAnsi="Times New Roman" w:eastAsia="仿宋_GB2312"/>
                <w:szCs w:val="21"/>
              </w:rPr>
            </w:pPr>
          </w:p>
        </w:tc>
        <w:tc>
          <w:tcPr>
            <w:tcW w:w="742" w:type="dxa"/>
            <w:vMerge w:val="continue"/>
            <w:shd w:val="clear" w:color="auto" w:fill="auto"/>
            <w:tcMar>
              <w:left w:w="108" w:type="dxa"/>
              <w:right w:w="108" w:type="dxa"/>
            </w:tcMar>
            <w:vAlign w:val="center"/>
          </w:tcPr>
          <w:p w14:paraId="56EDC247">
            <w:pPr>
              <w:jc w:val="center"/>
              <w:rPr>
                <w:rFonts w:ascii="黑体" w:hAnsi="黑体" w:eastAsia="黑体"/>
                <w:szCs w:val="21"/>
              </w:rPr>
            </w:pPr>
          </w:p>
        </w:tc>
        <w:tc>
          <w:tcPr>
            <w:tcW w:w="545" w:type="dxa"/>
            <w:shd w:val="clear" w:color="auto" w:fill="auto"/>
            <w:tcMar>
              <w:left w:w="108" w:type="dxa"/>
              <w:right w:w="108" w:type="dxa"/>
            </w:tcMar>
            <w:vAlign w:val="center"/>
          </w:tcPr>
          <w:p w14:paraId="2B91EDB4">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商业企业</w:t>
            </w:r>
          </w:p>
        </w:tc>
        <w:tc>
          <w:tcPr>
            <w:tcW w:w="540" w:type="dxa"/>
            <w:gridSpan w:val="2"/>
            <w:shd w:val="clear" w:color="auto" w:fill="auto"/>
            <w:tcMar>
              <w:left w:w="108" w:type="dxa"/>
              <w:right w:w="108" w:type="dxa"/>
            </w:tcMar>
            <w:vAlign w:val="center"/>
          </w:tcPr>
          <w:p w14:paraId="2EF1AFBE">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科研机构</w:t>
            </w:r>
          </w:p>
        </w:tc>
        <w:tc>
          <w:tcPr>
            <w:tcW w:w="598" w:type="dxa"/>
            <w:shd w:val="clear" w:color="auto" w:fill="auto"/>
            <w:tcMar>
              <w:left w:w="108" w:type="dxa"/>
              <w:right w:w="108" w:type="dxa"/>
            </w:tcMar>
            <w:vAlign w:val="center"/>
          </w:tcPr>
          <w:p w14:paraId="44471F7F">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社会公益组织</w:t>
            </w:r>
          </w:p>
        </w:tc>
        <w:tc>
          <w:tcPr>
            <w:tcW w:w="600" w:type="dxa"/>
            <w:shd w:val="clear" w:color="auto" w:fill="auto"/>
            <w:tcMar>
              <w:left w:w="108" w:type="dxa"/>
              <w:right w:w="108" w:type="dxa"/>
            </w:tcMar>
            <w:vAlign w:val="center"/>
          </w:tcPr>
          <w:p w14:paraId="2750BD72">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法律服务机构</w:t>
            </w:r>
          </w:p>
        </w:tc>
        <w:tc>
          <w:tcPr>
            <w:tcW w:w="425" w:type="dxa"/>
            <w:shd w:val="clear" w:color="auto" w:fill="auto"/>
            <w:tcMar>
              <w:left w:w="108" w:type="dxa"/>
              <w:right w:w="108" w:type="dxa"/>
            </w:tcMar>
            <w:vAlign w:val="center"/>
          </w:tcPr>
          <w:p w14:paraId="6F33FCCD">
            <w:pPr>
              <w:widowControl/>
              <w:spacing w:line="360" w:lineRule="exact"/>
              <w:ind w:left="-63" w:leftChars="-30" w:right="-134" w:rightChars="-64"/>
              <w:jc w:val="center"/>
              <w:rPr>
                <w:rFonts w:ascii="黑体" w:hAnsi="黑体" w:eastAsia="黑体"/>
                <w:b/>
                <w:bCs/>
                <w:szCs w:val="21"/>
              </w:rPr>
            </w:pPr>
            <w:r>
              <w:rPr>
                <w:rFonts w:hint="eastAsia" w:ascii="黑体" w:hAnsi="黑体" w:eastAsia="黑体"/>
                <w:b/>
                <w:bCs/>
                <w:kern w:val="0"/>
                <w:szCs w:val="21"/>
              </w:rPr>
              <w:t>其他</w:t>
            </w:r>
          </w:p>
        </w:tc>
        <w:tc>
          <w:tcPr>
            <w:tcW w:w="714" w:type="dxa"/>
            <w:vMerge w:val="continue"/>
            <w:shd w:val="clear" w:color="auto" w:fill="auto"/>
            <w:tcMar>
              <w:left w:w="108" w:type="dxa"/>
              <w:right w:w="108" w:type="dxa"/>
            </w:tcMar>
            <w:vAlign w:val="center"/>
          </w:tcPr>
          <w:p w14:paraId="4D15854C">
            <w:pPr>
              <w:jc w:val="center"/>
              <w:rPr>
                <w:rFonts w:ascii="仿宋_GB2312" w:hAnsi="Times New Roman" w:eastAsia="仿宋_GB2312"/>
                <w:szCs w:val="21"/>
              </w:rPr>
            </w:pPr>
          </w:p>
        </w:tc>
      </w:tr>
      <w:tr w14:paraId="68544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4934" w:type="dxa"/>
            <w:gridSpan w:val="3"/>
            <w:shd w:val="clear" w:color="auto" w:fill="auto"/>
            <w:tcMar>
              <w:left w:w="108" w:type="dxa"/>
              <w:right w:w="108" w:type="dxa"/>
            </w:tcMar>
            <w:vAlign w:val="center"/>
          </w:tcPr>
          <w:p w14:paraId="49E9D999">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一、</w:t>
            </w:r>
            <w:bookmarkStart w:id="0" w:name="_Hlk66973412"/>
            <w:r>
              <w:rPr>
                <w:rFonts w:hint="eastAsia" w:ascii="方正仿宋简体" w:hAnsi="宋体" w:eastAsia="方正仿宋简体" w:cs="宋体"/>
                <w:b/>
                <w:kern w:val="0"/>
                <w:sz w:val="21"/>
                <w:szCs w:val="21"/>
                <w:lang w:bidi="ar"/>
              </w:rPr>
              <w:t>本年新收政府信息公开申请数量</w:t>
            </w:r>
            <w:bookmarkEnd w:id="0"/>
          </w:p>
        </w:tc>
        <w:tc>
          <w:tcPr>
            <w:tcW w:w="742" w:type="dxa"/>
            <w:shd w:val="clear" w:color="auto" w:fill="auto"/>
            <w:tcMar>
              <w:left w:w="108" w:type="dxa"/>
              <w:right w:w="108" w:type="dxa"/>
            </w:tcMar>
            <w:vAlign w:val="center"/>
          </w:tcPr>
          <w:p w14:paraId="6D7DB6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069D53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CB639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5C1969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5438F6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50E081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158915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7CEF5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4934" w:type="dxa"/>
            <w:gridSpan w:val="3"/>
            <w:shd w:val="clear" w:color="auto" w:fill="auto"/>
            <w:tcMar>
              <w:left w:w="108" w:type="dxa"/>
              <w:right w:w="108" w:type="dxa"/>
            </w:tcMar>
            <w:vAlign w:val="center"/>
          </w:tcPr>
          <w:p w14:paraId="2A67A1E6">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二、上年结转政府信息公开申请数量</w:t>
            </w:r>
          </w:p>
        </w:tc>
        <w:tc>
          <w:tcPr>
            <w:tcW w:w="742" w:type="dxa"/>
            <w:shd w:val="clear" w:color="auto" w:fill="auto"/>
            <w:tcMar>
              <w:left w:w="108" w:type="dxa"/>
              <w:right w:w="108" w:type="dxa"/>
            </w:tcMar>
            <w:vAlign w:val="center"/>
          </w:tcPr>
          <w:p w14:paraId="3E706E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4173CA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44FCF5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0610CD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4EB346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672A37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634083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3AFFB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913" w:type="dxa"/>
            <w:vMerge w:val="restart"/>
            <w:shd w:val="clear" w:color="auto" w:fill="auto"/>
            <w:tcMar>
              <w:left w:w="108" w:type="dxa"/>
              <w:right w:w="108" w:type="dxa"/>
            </w:tcMar>
            <w:vAlign w:val="center"/>
          </w:tcPr>
          <w:p w14:paraId="16B64B02">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三、本年度办理结果</w:t>
            </w:r>
          </w:p>
        </w:tc>
        <w:tc>
          <w:tcPr>
            <w:tcW w:w="4021" w:type="dxa"/>
            <w:gridSpan w:val="2"/>
            <w:shd w:val="clear" w:color="auto" w:fill="auto"/>
            <w:tcMar>
              <w:left w:w="108" w:type="dxa"/>
              <w:right w:w="108" w:type="dxa"/>
            </w:tcMar>
            <w:vAlign w:val="center"/>
          </w:tcPr>
          <w:p w14:paraId="63268E52">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（一）予以公开</w:t>
            </w:r>
          </w:p>
        </w:tc>
        <w:tc>
          <w:tcPr>
            <w:tcW w:w="742" w:type="dxa"/>
            <w:shd w:val="clear" w:color="auto" w:fill="auto"/>
            <w:tcMar>
              <w:left w:w="108" w:type="dxa"/>
              <w:right w:w="108" w:type="dxa"/>
            </w:tcMar>
            <w:vAlign w:val="center"/>
          </w:tcPr>
          <w:p w14:paraId="5BC27F1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gridSpan w:val="2"/>
            <w:shd w:val="clear" w:color="auto" w:fill="auto"/>
            <w:tcMar>
              <w:left w:w="108" w:type="dxa"/>
              <w:right w:w="108" w:type="dxa"/>
            </w:tcMar>
            <w:vAlign w:val="center"/>
          </w:tcPr>
          <w:p w14:paraId="320E75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35" w:type="dxa"/>
            <w:shd w:val="clear" w:color="auto" w:fill="auto"/>
            <w:tcMar>
              <w:left w:w="108" w:type="dxa"/>
              <w:right w:w="108" w:type="dxa"/>
            </w:tcMar>
            <w:vAlign w:val="center"/>
          </w:tcPr>
          <w:p w14:paraId="01EB63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0F719F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7D1937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69DB8B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4254BC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52F47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913" w:type="dxa"/>
            <w:vMerge w:val="continue"/>
            <w:shd w:val="clear" w:color="auto" w:fill="auto"/>
            <w:tcMar>
              <w:left w:w="108" w:type="dxa"/>
              <w:right w:w="108" w:type="dxa"/>
            </w:tcMar>
            <w:vAlign w:val="center"/>
          </w:tcPr>
          <w:p w14:paraId="60876ADA">
            <w:pPr>
              <w:widowControl/>
              <w:spacing w:line="300" w:lineRule="exact"/>
              <w:jc w:val="left"/>
              <w:rPr>
                <w:rFonts w:hint="eastAsia" w:ascii="方正仿宋简体" w:hAnsi="宋体" w:eastAsia="方正仿宋简体" w:cs="宋体"/>
                <w:b/>
                <w:kern w:val="0"/>
                <w:sz w:val="21"/>
                <w:szCs w:val="21"/>
                <w:lang w:bidi="ar"/>
              </w:rPr>
            </w:pPr>
          </w:p>
        </w:tc>
        <w:tc>
          <w:tcPr>
            <w:tcW w:w="4021" w:type="dxa"/>
            <w:gridSpan w:val="2"/>
            <w:shd w:val="clear" w:color="auto" w:fill="auto"/>
            <w:tcMar>
              <w:left w:w="108" w:type="dxa"/>
              <w:right w:w="108" w:type="dxa"/>
            </w:tcMar>
            <w:vAlign w:val="center"/>
          </w:tcPr>
          <w:p w14:paraId="0A6BD4E7">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（二）部分公开（</w:t>
            </w:r>
            <w:bookmarkStart w:id="1" w:name="_Hlk66973981"/>
            <w:r>
              <w:rPr>
                <w:rFonts w:hint="eastAsia" w:ascii="方正仿宋简体" w:hAnsi="宋体" w:eastAsia="方正仿宋简体" w:cs="宋体"/>
                <w:b/>
                <w:kern w:val="0"/>
                <w:sz w:val="21"/>
                <w:szCs w:val="21"/>
                <w:lang w:bidi="ar"/>
              </w:rPr>
              <w:t>区分处理的，只计这一情形，不计其他情形</w:t>
            </w:r>
            <w:bookmarkEnd w:id="1"/>
            <w:r>
              <w:rPr>
                <w:rFonts w:hint="eastAsia" w:ascii="方正仿宋简体" w:hAnsi="宋体" w:eastAsia="方正仿宋简体" w:cs="宋体"/>
                <w:b/>
                <w:kern w:val="0"/>
                <w:sz w:val="21"/>
                <w:szCs w:val="21"/>
                <w:lang w:bidi="ar"/>
              </w:rPr>
              <w:t>）</w:t>
            </w:r>
          </w:p>
        </w:tc>
        <w:tc>
          <w:tcPr>
            <w:tcW w:w="742" w:type="dxa"/>
            <w:shd w:val="clear" w:color="auto" w:fill="auto"/>
            <w:tcMar>
              <w:left w:w="108" w:type="dxa"/>
              <w:right w:w="108" w:type="dxa"/>
            </w:tcMar>
            <w:vAlign w:val="center"/>
          </w:tcPr>
          <w:p w14:paraId="75D6F8C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gridSpan w:val="2"/>
            <w:shd w:val="clear" w:color="auto" w:fill="auto"/>
            <w:tcMar>
              <w:left w:w="108" w:type="dxa"/>
              <w:right w:w="108" w:type="dxa"/>
            </w:tcMar>
            <w:vAlign w:val="center"/>
          </w:tcPr>
          <w:p w14:paraId="1DB349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35" w:type="dxa"/>
            <w:shd w:val="clear" w:color="auto" w:fill="auto"/>
            <w:tcMar>
              <w:left w:w="108" w:type="dxa"/>
              <w:right w:w="108" w:type="dxa"/>
            </w:tcMar>
            <w:vAlign w:val="center"/>
          </w:tcPr>
          <w:p w14:paraId="25A8AE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5823EC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0C18A3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47BD91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11CF68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1F5AC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41C1BAAF">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14:paraId="48FF217C">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（三）不予公开</w:t>
            </w:r>
          </w:p>
        </w:tc>
        <w:tc>
          <w:tcPr>
            <w:tcW w:w="2976" w:type="dxa"/>
            <w:shd w:val="clear" w:color="auto" w:fill="auto"/>
            <w:tcMar>
              <w:left w:w="108" w:type="dxa"/>
              <w:right w:w="108" w:type="dxa"/>
            </w:tcMar>
            <w:vAlign w:val="center"/>
          </w:tcPr>
          <w:p w14:paraId="51678E72">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1.属于国家秘密</w:t>
            </w:r>
          </w:p>
        </w:tc>
        <w:tc>
          <w:tcPr>
            <w:tcW w:w="742" w:type="dxa"/>
            <w:shd w:val="clear" w:color="auto" w:fill="auto"/>
            <w:tcMar>
              <w:left w:w="108" w:type="dxa"/>
              <w:right w:w="108" w:type="dxa"/>
            </w:tcMar>
            <w:vAlign w:val="center"/>
          </w:tcPr>
          <w:p w14:paraId="2F7835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493B289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1E5B60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5F8BFE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0AE0E21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6A57D0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25CEE6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0EF4F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7" w:hRule="exact"/>
          <w:jc w:val="center"/>
        </w:trPr>
        <w:tc>
          <w:tcPr>
            <w:tcW w:w="913" w:type="dxa"/>
            <w:vMerge w:val="continue"/>
            <w:shd w:val="clear" w:color="auto" w:fill="auto"/>
            <w:tcMar>
              <w:left w:w="108" w:type="dxa"/>
              <w:right w:w="108" w:type="dxa"/>
            </w:tcMar>
            <w:vAlign w:val="center"/>
          </w:tcPr>
          <w:p w14:paraId="5FCB1CE4">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4D0C4A53">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5A72A0EC">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w:t>
            </w:r>
            <w:bookmarkStart w:id="2" w:name="_Hlk66974104"/>
            <w:r>
              <w:rPr>
                <w:rFonts w:hint="eastAsia" w:ascii="方正仿宋简体" w:hAnsi="宋体" w:eastAsia="方正仿宋简体" w:cs="宋体"/>
                <w:b/>
                <w:kern w:val="0"/>
                <w:sz w:val="21"/>
                <w:szCs w:val="21"/>
                <w:lang w:bidi="ar"/>
              </w:rPr>
              <w:t>其他法律</w:t>
            </w:r>
            <w:r>
              <w:rPr>
                <w:rFonts w:hint="eastAsia" w:ascii="方正仿宋简体" w:hAnsi="宋体" w:eastAsia="方正仿宋简体" w:cs="宋体"/>
                <w:b/>
                <w:kern w:val="0"/>
                <w:sz w:val="21"/>
                <w:szCs w:val="21"/>
                <w:lang w:val="en-US" w:eastAsia="zh-CN" w:bidi="ar"/>
              </w:rPr>
              <w:t xml:space="preserve">   </w:t>
            </w:r>
            <w:r>
              <w:rPr>
                <w:rFonts w:hint="eastAsia" w:ascii="方正仿宋简体" w:hAnsi="宋体" w:eastAsia="方正仿宋简体" w:cs="宋体"/>
                <w:b/>
                <w:kern w:val="0"/>
                <w:sz w:val="21"/>
                <w:szCs w:val="21"/>
                <w:lang w:bidi="ar"/>
              </w:rPr>
              <w:t>行政法规禁止公开</w:t>
            </w:r>
            <w:bookmarkEnd w:id="2"/>
          </w:p>
        </w:tc>
        <w:tc>
          <w:tcPr>
            <w:tcW w:w="742" w:type="dxa"/>
            <w:shd w:val="clear" w:color="auto" w:fill="auto"/>
            <w:tcMar>
              <w:left w:w="108" w:type="dxa"/>
              <w:right w:w="108" w:type="dxa"/>
            </w:tcMar>
            <w:vAlign w:val="center"/>
          </w:tcPr>
          <w:p w14:paraId="2F265A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3F0B5F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7CA3B3E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55F75C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02A6BC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4936C5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02BEF2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1AEF5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2FD5C751">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0A338156">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2A55E4F9">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3.危及“三安全一稳定”</w:t>
            </w:r>
          </w:p>
        </w:tc>
        <w:tc>
          <w:tcPr>
            <w:tcW w:w="742" w:type="dxa"/>
            <w:shd w:val="clear" w:color="auto" w:fill="auto"/>
            <w:tcMar>
              <w:left w:w="108" w:type="dxa"/>
              <w:right w:w="108" w:type="dxa"/>
            </w:tcMar>
            <w:vAlign w:val="center"/>
          </w:tcPr>
          <w:p w14:paraId="6606E36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562931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3559D1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5921EB8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19B12E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4E8DC8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6547DD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40F5C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0B86C8D4">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05AF3E93">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0B5B90F4">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4.</w:t>
            </w:r>
            <w:bookmarkStart w:id="3" w:name="_Hlk66974290"/>
            <w:r>
              <w:rPr>
                <w:rFonts w:hint="eastAsia" w:ascii="方正仿宋简体" w:hAnsi="宋体" w:eastAsia="方正仿宋简体" w:cs="宋体"/>
                <w:b/>
                <w:kern w:val="0"/>
                <w:sz w:val="21"/>
                <w:szCs w:val="21"/>
                <w:lang w:bidi="ar"/>
              </w:rPr>
              <w:t>保护第三方合法权益</w:t>
            </w:r>
            <w:bookmarkEnd w:id="3"/>
          </w:p>
        </w:tc>
        <w:tc>
          <w:tcPr>
            <w:tcW w:w="742" w:type="dxa"/>
            <w:shd w:val="clear" w:color="auto" w:fill="auto"/>
            <w:tcMar>
              <w:left w:w="108" w:type="dxa"/>
              <w:right w:w="108" w:type="dxa"/>
            </w:tcMar>
            <w:vAlign w:val="center"/>
          </w:tcPr>
          <w:p w14:paraId="7A0170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7AF12D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3EC7E7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4ED38DE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5E1CBD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1AC086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58AECE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6A05B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47FB7604">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635BF493">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4E0F3C33">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5.属于三类内部事务信息</w:t>
            </w:r>
          </w:p>
        </w:tc>
        <w:tc>
          <w:tcPr>
            <w:tcW w:w="742" w:type="dxa"/>
            <w:shd w:val="clear" w:color="auto" w:fill="auto"/>
            <w:tcMar>
              <w:left w:w="108" w:type="dxa"/>
              <w:right w:w="108" w:type="dxa"/>
            </w:tcMar>
            <w:vAlign w:val="center"/>
          </w:tcPr>
          <w:p w14:paraId="464554C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6AECDF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EDCF7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326A0A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148112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7D0277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075B35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1BC64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913" w:type="dxa"/>
            <w:vMerge w:val="continue"/>
            <w:shd w:val="clear" w:color="auto" w:fill="auto"/>
            <w:tcMar>
              <w:left w:w="108" w:type="dxa"/>
              <w:right w:w="108" w:type="dxa"/>
            </w:tcMar>
            <w:vAlign w:val="center"/>
          </w:tcPr>
          <w:p w14:paraId="5A38739D">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5F260670">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72F5EA2A">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6.</w:t>
            </w:r>
            <w:bookmarkStart w:id="4" w:name="_Hlk66974555"/>
            <w:r>
              <w:rPr>
                <w:rFonts w:hint="eastAsia" w:ascii="方正仿宋简体" w:hAnsi="宋体" w:eastAsia="方正仿宋简体" w:cs="宋体"/>
                <w:b/>
                <w:kern w:val="0"/>
                <w:sz w:val="21"/>
                <w:szCs w:val="21"/>
                <w:lang w:bidi="ar"/>
              </w:rPr>
              <w:t>属于四类过程性信息</w:t>
            </w:r>
            <w:bookmarkEnd w:id="4"/>
          </w:p>
        </w:tc>
        <w:tc>
          <w:tcPr>
            <w:tcW w:w="742" w:type="dxa"/>
            <w:shd w:val="clear" w:color="auto" w:fill="auto"/>
            <w:tcMar>
              <w:left w:w="108" w:type="dxa"/>
              <w:right w:w="108" w:type="dxa"/>
            </w:tcMar>
            <w:vAlign w:val="center"/>
          </w:tcPr>
          <w:p w14:paraId="5A93EF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0A693A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420C42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33B435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2849DC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28E9D8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633BA35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5250F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572CDF1A">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7BA8C11C">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4375D787">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7.属于行政执法案卷</w:t>
            </w:r>
          </w:p>
        </w:tc>
        <w:tc>
          <w:tcPr>
            <w:tcW w:w="742" w:type="dxa"/>
            <w:shd w:val="clear" w:color="auto" w:fill="auto"/>
            <w:tcMar>
              <w:left w:w="108" w:type="dxa"/>
              <w:right w:w="108" w:type="dxa"/>
            </w:tcMar>
            <w:vAlign w:val="center"/>
          </w:tcPr>
          <w:p w14:paraId="1AF129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52C47F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DC9DF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68044D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1B99AE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645B86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58859B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464F7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29E66BE0">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19B18530">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46CD38D8">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8.</w:t>
            </w:r>
            <w:bookmarkStart w:id="5" w:name="_Hlk66975211"/>
            <w:r>
              <w:rPr>
                <w:rFonts w:hint="eastAsia" w:ascii="方正仿宋简体" w:hAnsi="宋体" w:eastAsia="方正仿宋简体" w:cs="宋体"/>
                <w:b/>
                <w:kern w:val="0"/>
                <w:sz w:val="21"/>
                <w:szCs w:val="21"/>
                <w:lang w:bidi="ar"/>
              </w:rPr>
              <w:t>属于行政查询事项</w:t>
            </w:r>
            <w:bookmarkEnd w:id="5"/>
          </w:p>
        </w:tc>
        <w:tc>
          <w:tcPr>
            <w:tcW w:w="742" w:type="dxa"/>
            <w:shd w:val="clear" w:color="auto" w:fill="auto"/>
            <w:tcMar>
              <w:left w:w="108" w:type="dxa"/>
              <w:right w:w="108" w:type="dxa"/>
            </w:tcMar>
            <w:vAlign w:val="center"/>
          </w:tcPr>
          <w:p w14:paraId="2B1BE8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7B5C31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0230F4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59B41B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4F192E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06026B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4D39CFC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51107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1412727F">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14:paraId="725B12F3">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（四）无法提供</w:t>
            </w:r>
          </w:p>
        </w:tc>
        <w:tc>
          <w:tcPr>
            <w:tcW w:w="2976" w:type="dxa"/>
            <w:shd w:val="clear" w:color="auto" w:fill="auto"/>
            <w:tcMar>
              <w:left w:w="108" w:type="dxa"/>
              <w:right w:w="108" w:type="dxa"/>
            </w:tcMar>
            <w:vAlign w:val="center"/>
          </w:tcPr>
          <w:p w14:paraId="07353BD9">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1.本机关不掌握相关政府信息</w:t>
            </w:r>
          </w:p>
        </w:tc>
        <w:tc>
          <w:tcPr>
            <w:tcW w:w="742" w:type="dxa"/>
            <w:shd w:val="clear" w:color="auto" w:fill="auto"/>
            <w:tcMar>
              <w:left w:w="108" w:type="dxa"/>
              <w:right w:w="108" w:type="dxa"/>
            </w:tcMar>
            <w:vAlign w:val="center"/>
          </w:tcPr>
          <w:p w14:paraId="7248B1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4D99AE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05CD1B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50A0188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4D84E7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21D08B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348F53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7DD7B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25B7EE97">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008146E6">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29BADC12">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w:t>
            </w:r>
            <w:bookmarkStart w:id="6" w:name="_Hlk66975392"/>
            <w:r>
              <w:rPr>
                <w:rFonts w:hint="eastAsia" w:ascii="方正仿宋简体" w:hAnsi="宋体" w:eastAsia="方正仿宋简体" w:cs="宋体"/>
                <w:b/>
                <w:kern w:val="0"/>
                <w:sz w:val="21"/>
                <w:szCs w:val="21"/>
                <w:lang w:bidi="ar"/>
              </w:rPr>
              <w:t>没有现成信息需要另行制作</w:t>
            </w:r>
            <w:bookmarkEnd w:id="6"/>
          </w:p>
        </w:tc>
        <w:tc>
          <w:tcPr>
            <w:tcW w:w="742" w:type="dxa"/>
            <w:shd w:val="clear" w:color="auto" w:fill="auto"/>
            <w:tcMar>
              <w:left w:w="108" w:type="dxa"/>
              <w:right w:w="108" w:type="dxa"/>
            </w:tcMar>
            <w:vAlign w:val="center"/>
          </w:tcPr>
          <w:p w14:paraId="716A88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5D4FEB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6F6996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3A3192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7C345E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37696F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17338C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48126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00F6937C">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734BC7AA">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6F639387">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w:t>
            </w:r>
            <w:bookmarkStart w:id="7" w:name="_Hlk66975466"/>
            <w:r>
              <w:rPr>
                <w:rFonts w:hint="eastAsia" w:ascii="方正仿宋简体" w:hAnsi="宋体" w:eastAsia="方正仿宋简体" w:cs="宋体"/>
                <w:b/>
                <w:kern w:val="0"/>
                <w:sz w:val="21"/>
                <w:szCs w:val="21"/>
                <w:lang w:bidi="ar"/>
              </w:rPr>
              <w:t>补正后申请内容仍不明确</w:t>
            </w:r>
            <w:bookmarkEnd w:id="7"/>
          </w:p>
        </w:tc>
        <w:tc>
          <w:tcPr>
            <w:tcW w:w="742" w:type="dxa"/>
            <w:shd w:val="clear" w:color="auto" w:fill="auto"/>
            <w:tcMar>
              <w:left w:w="108" w:type="dxa"/>
              <w:right w:w="108" w:type="dxa"/>
            </w:tcMar>
            <w:vAlign w:val="center"/>
          </w:tcPr>
          <w:p w14:paraId="0FFC6D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357363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071F61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5C346F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053008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3F3BAD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3E11A9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2EC2B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7E13DEF1">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14:paraId="0E8E9A81">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（五）不予处理</w:t>
            </w:r>
          </w:p>
        </w:tc>
        <w:tc>
          <w:tcPr>
            <w:tcW w:w="2976" w:type="dxa"/>
            <w:shd w:val="clear" w:color="auto" w:fill="auto"/>
            <w:tcMar>
              <w:left w:w="108" w:type="dxa"/>
              <w:right w:w="108" w:type="dxa"/>
            </w:tcMar>
            <w:vAlign w:val="center"/>
          </w:tcPr>
          <w:p w14:paraId="1C82A267">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w:t>
            </w:r>
            <w:bookmarkStart w:id="8" w:name="_Hlk66975537"/>
            <w:r>
              <w:rPr>
                <w:rFonts w:hint="eastAsia" w:ascii="方正仿宋简体" w:hAnsi="宋体" w:eastAsia="方正仿宋简体" w:cs="宋体"/>
                <w:b/>
                <w:kern w:val="0"/>
                <w:sz w:val="21"/>
                <w:szCs w:val="21"/>
                <w:lang w:bidi="ar"/>
              </w:rPr>
              <w:t>信访举报投诉类申请</w:t>
            </w:r>
            <w:bookmarkEnd w:id="8"/>
          </w:p>
        </w:tc>
        <w:tc>
          <w:tcPr>
            <w:tcW w:w="742" w:type="dxa"/>
            <w:shd w:val="clear" w:color="auto" w:fill="auto"/>
            <w:tcMar>
              <w:left w:w="108" w:type="dxa"/>
              <w:right w:w="108" w:type="dxa"/>
            </w:tcMar>
            <w:vAlign w:val="center"/>
          </w:tcPr>
          <w:p w14:paraId="1728D7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35A1C8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27E29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28B416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4C8E63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51B9CF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56A5D7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7049A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043D7899">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5F47FBE4">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75A19B64">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2.重复申请</w:t>
            </w:r>
          </w:p>
        </w:tc>
        <w:tc>
          <w:tcPr>
            <w:tcW w:w="742" w:type="dxa"/>
            <w:shd w:val="clear" w:color="auto" w:fill="auto"/>
            <w:tcMar>
              <w:left w:w="108" w:type="dxa"/>
              <w:right w:w="108" w:type="dxa"/>
            </w:tcMar>
            <w:vAlign w:val="center"/>
          </w:tcPr>
          <w:p w14:paraId="0D5945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181D70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37C551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196A9F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6A3504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5B5050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2E8C54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0592A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0B9C320A">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24DC9632">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036D6F0D">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3.要求提供公开出版物</w:t>
            </w:r>
          </w:p>
        </w:tc>
        <w:tc>
          <w:tcPr>
            <w:tcW w:w="742" w:type="dxa"/>
            <w:shd w:val="clear" w:color="auto" w:fill="auto"/>
            <w:tcMar>
              <w:left w:w="108" w:type="dxa"/>
              <w:right w:w="108" w:type="dxa"/>
            </w:tcMar>
            <w:vAlign w:val="center"/>
          </w:tcPr>
          <w:p w14:paraId="3F5B94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15F7C9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4D6DD2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0658D5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1757B1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5FB211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7C71B4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6D23F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13" w:type="dxa"/>
            <w:vMerge w:val="continue"/>
            <w:shd w:val="clear" w:color="auto" w:fill="auto"/>
            <w:tcMar>
              <w:left w:w="108" w:type="dxa"/>
              <w:right w:w="108" w:type="dxa"/>
            </w:tcMar>
            <w:vAlign w:val="center"/>
          </w:tcPr>
          <w:p w14:paraId="27D15887">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025B7443">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38F2808B">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4.无正当理由大量反复申请</w:t>
            </w:r>
          </w:p>
        </w:tc>
        <w:tc>
          <w:tcPr>
            <w:tcW w:w="742" w:type="dxa"/>
            <w:shd w:val="clear" w:color="auto" w:fill="auto"/>
            <w:tcMar>
              <w:left w:w="108" w:type="dxa"/>
              <w:right w:w="108" w:type="dxa"/>
            </w:tcMar>
            <w:vAlign w:val="center"/>
          </w:tcPr>
          <w:p w14:paraId="7D2301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2C7311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2DC922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371C17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25506F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1DF8AC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5892B8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1CCC8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913" w:type="dxa"/>
            <w:vMerge w:val="continue"/>
            <w:shd w:val="clear" w:color="auto" w:fill="auto"/>
            <w:tcMar>
              <w:left w:w="108" w:type="dxa"/>
              <w:right w:w="108" w:type="dxa"/>
            </w:tcMar>
            <w:vAlign w:val="center"/>
          </w:tcPr>
          <w:p w14:paraId="1F9FD3B4">
            <w:pPr>
              <w:rPr>
                <w:rFonts w:ascii="黑体" w:hAnsi="黑体" w:eastAsia="黑体"/>
                <w:b/>
                <w:bCs/>
                <w:szCs w:val="21"/>
              </w:rPr>
            </w:pPr>
          </w:p>
        </w:tc>
        <w:tc>
          <w:tcPr>
            <w:tcW w:w="1045" w:type="dxa"/>
            <w:vMerge w:val="continue"/>
            <w:shd w:val="clear" w:color="auto" w:fill="auto"/>
            <w:tcMar>
              <w:left w:w="108" w:type="dxa"/>
              <w:right w:w="108" w:type="dxa"/>
            </w:tcMar>
            <w:vAlign w:val="center"/>
          </w:tcPr>
          <w:p w14:paraId="152D1356">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060DA79A">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5.要求行政机关确认或重新</w:t>
            </w:r>
          </w:p>
          <w:p w14:paraId="4B6DB70D">
            <w:pPr>
              <w:widowControl/>
              <w:spacing w:line="300" w:lineRule="exact"/>
              <w:jc w:val="left"/>
              <w:rPr>
                <w:rFonts w:ascii="仿宋_GB2312" w:hAnsi="黑体" w:eastAsia="仿宋_GB2312"/>
                <w:b/>
                <w:bCs/>
                <w:szCs w:val="21"/>
              </w:rPr>
            </w:pPr>
            <w:r>
              <w:rPr>
                <w:rFonts w:hint="eastAsia" w:ascii="方正仿宋简体" w:hAnsi="宋体" w:eastAsia="方正仿宋简体" w:cs="宋体"/>
                <w:b/>
                <w:kern w:val="0"/>
                <w:sz w:val="21"/>
                <w:szCs w:val="21"/>
                <w:lang w:bidi="ar"/>
              </w:rPr>
              <w:t>出具已获取信息</w:t>
            </w:r>
          </w:p>
        </w:tc>
        <w:tc>
          <w:tcPr>
            <w:tcW w:w="742" w:type="dxa"/>
            <w:shd w:val="clear" w:color="auto" w:fill="auto"/>
            <w:tcMar>
              <w:left w:w="108" w:type="dxa"/>
              <w:right w:w="108" w:type="dxa"/>
            </w:tcMar>
            <w:vAlign w:val="center"/>
          </w:tcPr>
          <w:p w14:paraId="44E567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2BB786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FA6AD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3256F0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3F4AB2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211BA5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00A75C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403CB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913" w:type="dxa"/>
            <w:vMerge w:val="continue"/>
            <w:shd w:val="clear" w:color="auto" w:fill="auto"/>
            <w:tcMar>
              <w:left w:w="108" w:type="dxa"/>
              <w:right w:w="108" w:type="dxa"/>
            </w:tcMar>
            <w:vAlign w:val="center"/>
          </w:tcPr>
          <w:p w14:paraId="202DBF43">
            <w:pPr>
              <w:rPr>
                <w:rFonts w:ascii="黑体" w:hAnsi="黑体" w:eastAsia="黑体"/>
                <w:b/>
                <w:bCs/>
                <w:szCs w:val="21"/>
              </w:rPr>
            </w:pPr>
          </w:p>
        </w:tc>
        <w:tc>
          <w:tcPr>
            <w:tcW w:w="1045" w:type="dxa"/>
            <w:vMerge w:val="restart"/>
            <w:shd w:val="clear" w:color="auto" w:fill="auto"/>
            <w:tcMar>
              <w:left w:w="108" w:type="dxa"/>
              <w:right w:w="108" w:type="dxa"/>
            </w:tcMar>
            <w:vAlign w:val="center"/>
          </w:tcPr>
          <w:p w14:paraId="3D2246F4">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（六）其他处理</w:t>
            </w:r>
          </w:p>
        </w:tc>
        <w:tc>
          <w:tcPr>
            <w:tcW w:w="2976" w:type="dxa"/>
            <w:shd w:val="clear" w:color="auto" w:fill="auto"/>
            <w:vAlign w:val="center"/>
          </w:tcPr>
          <w:p w14:paraId="7C866B87">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1.申请人无正当理由逾期不补正、行政机关不再处理其政府信息公开申请</w:t>
            </w:r>
          </w:p>
        </w:tc>
        <w:tc>
          <w:tcPr>
            <w:tcW w:w="742" w:type="dxa"/>
            <w:shd w:val="clear" w:color="auto" w:fill="auto"/>
            <w:tcMar>
              <w:left w:w="108" w:type="dxa"/>
              <w:right w:w="108" w:type="dxa"/>
            </w:tcMar>
            <w:vAlign w:val="center"/>
          </w:tcPr>
          <w:p w14:paraId="4CC5EA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3C28E15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2A3EDC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52045D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4F34D0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6C0F43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1FC83A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5D689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913" w:type="dxa"/>
            <w:vMerge w:val="continue"/>
            <w:shd w:val="clear" w:color="auto" w:fill="auto"/>
            <w:tcMar>
              <w:left w:w="108" w:type="dxa"/>
              <w:right w:w="108" w:type="dxa"/>
            </w:tcMar>
            <w:vAlign w:val="center"/>
          </w:tcPr>
          <w:p w14:paraId="523F08EF">
            <w:pPr>
              <w:rPr>
                <w:rFonts w:ascii="黑体" w:hAnsi="黑体" w:eastAsia="黑体"/>
                <w:b/>
                <w:bCs/>
                <w:szCs w:val="21"/>
              </w:rPr>
            </w:pPr>
          </w:p>
        </w:tc>
        <w:tc>
          <w:tcPr>
            <w:tcW w:w="1045" w:type="dxa"/>
            <w:vMerge w:val="continue"/>
            <w:shd w:val="clear" w:color="auto" w:fill="auto"/>
            <w:tcMar>
              <w:left w:w="108" w:type="dxa"/>
              <w:right w:w="108" w:type="dxa"/>
            </w:tcMar>
            <w:vAlign w:val="center"/>
          </w:tcPr>
          <w:p w14:paraId="66D8EE77">
            <w:pPr>
              <w:widowControl/>
              <w:spacing w:line="300" w:lineRule="exact"/>
              <w:jc w:val="left"/>
              <w:rPr>
                <w:rFonts w:ascii="方正仿宋简体" w:hAnsi="Times New Roman" w:eastAsia="方正仿宋简体" w:cs="Times New Roman"/>
                <w:b/>
                <w:kern w:val="0"/>
                <w:sz w:val="21"/>
                <w:szCs w:val="21"/>
              </w:rPr>
            </w:pPr>
          </w:p>
        </w:tc>
        <w:tc>
          <w:tcPr>
            <w:tcW w:w="2976" w:type="dxa"/>
            <w:shd w:val="clear" w:color="auto" w:fill="auto"/>
            <w:vAlign w:val="center"/>
          </w:tcPr>
          <w:p w14:paraId="558803CA">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2.申请人逾期未按收费通知要求缴纳费用、行政机关不再处理其政府信息公开申请</w:t>
            </w:r>
          </w:p>
        </w:tc>
        <w:tc>
          <w:tcPr>
            <w:tcW w:w="742" w:type="dxa"/>
            <w:shd w:val="clear" w:color="auto" w:fill="auto"/>
            <w:tcMar>
              <w:left w:w="108" w:type="dxa"/>
              <w:right w:w="108" w:type="dxa"/>
            </w:tcMar>
            <w:vAlign w:val="center"/>
          </w:tcPr>
          <w:p w14:paraId="0D9285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372205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D47625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47D2DE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755656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2462F0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5DEB127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r>
      <w:tr w14:paraId="104BD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913" w:type="dxa"/>
            <w:vMerge w:val="continue"/>
            <w:shd w:val="clear" w:color="auto" w:fill="auto"/>
            <w:tcMar>
              <w:left w:w="108" w:type="dxa"/>
              <w:right w:w="108" w:type="dxa"/>
            </w:tcMar>
            <w:vAlign w:val="center"/>
          </w:tcPr>
          <w:p w14:paraId="54655B77">
            <w:pPr>
              <w:rPr>
                <w:rFonts w:ascii="黑体" w:hAnsi="黑体" w:eastAsia="黑体"/>
                <w:b/>
                <w:bCs/>
                <w:szCs w:val="21"/>
              </w:rPr>
            </w:pPr>
          </w:p>
        </w:tc>
        <w:tc>
          <w:tcPr>
            <w:tcW w:w="1045" w:type="dxa"/>
            <w:vMerge w:val="continue"/>
            <w:shd w:val="clear" w:color="auto" w:fill="auto"/>
            <w:tcMar>
              <w:left w:w="108" w:type="dxa"/>
              <w:right w:w="108" w:type="dxa"/>
            </w:tcMar>
            <w:vAlign w:val="center"/>
          </w:tcPr>
          <w:p w14:paraId="02958EBA">
            <w:pPr>
              <w:widowControl/>
              <w:spacing w:line="300" w:lineRule="exact"/>
              <w:jc w:val="left"/>
              <w:rPr>
                <w:rFonts w:ascii="方正仿宋简体" w:hAnsi="Times New Roman" w:eastAsia="方正仿宋简体" w:cs="Times New Roman"/>
                <w:b/>
                <w:kern w:val="0"/>
                <w:sz w:val="21"/>
                <w:szCs w:val="21"/>
              </w:rPr>
            </w:pPr>
          </w:p>
        </w:tc>
        <w:tc>
          <w:tcPr>
            <w:tcW w:w="2976" w:type="dxa"/>
            <w:shd w:val="clear" w:color="auto" w:fill="auto"/>
            <w:vAlign w:val="center"/>
          </w:tcPr>
          <w:p w14:paraId="52E165FD">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3.其他</w:t>
            </w:r>
          </w:p>
        </w:tc>
        <w:tc>
          <w:tcPr>
            <w:tcW w:w="742" w:type="dxa"/>
            <w:shd w:val="clear" w:color="auto" w:fill="auto"/>
            <w:tcMar>
              <w:left w:w="108" w:type="dxa"/>
              <w:right w:w="108" w:type="dxa"/>
            </w:tcMar>
            <w:vAlign w:val="center"/>
          </w:tcPr>
          <w:p w14:paraId="077487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b/>
                <w:bCs/>
                <w:color w:val="FF0000"/>
                <w:szCs w:val="21"/>
                <w:lang w:val="en-US" w:eastAsia="zh-CN"/>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4DB082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b/>
                <w:bCs/>
                <w:color w:val="FF0000"/>
                <w:szCs w:val="21"/>
                <w:lang w:val="en-US" w:eastAsia="zh-CN"/>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1CF341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2C35A1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23C8BB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4C28D0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395A3E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r w14:paraId="37883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913" w:type="dxa"/>
            <w:vMerge w:val="continue"/>
            <w:shd w:val="clear" w:color="auto" w:fill="auto"/>
            <w:tcMar>
              <w:left w:w="108" w:type="dxa"/>
              <w:right w:w="108" w:type="dxa"/>
            </w:tcMar>
            <w:vAlign w:val="center"/>
          </w:tcPr>
          <w:p w14:paraId="4C1CFB81">
            <w:pPr>
              <w:rPr>
                <w:rFonts w:ascii="黑体" w:hAnsi="黑体" w:eastAsia="黑体"/>
                <w:b/>
                <w:bCs/>
                <w:szCs w:val="21"/>
              </w:rPr>
            </w:pPr>
          </w:p>
        </w:tc>
        <w:tc>
          <w:tcPr>
            <w:tcW w:w="4021" w:type="dxa"/>
            <w:gridSpan w:val="2"/>
            <w:shd w:val="clear" w:color="auto" w:fill="auto"/>
            <w:tcMar>
              <w:left w:w="108" w:type="dxa"/>
              <w:right w:w="108" w:type="dxa"/>
            </w:tcMar>
            <w:vAlign w:val="center"/>
          </w:tcPr>
          <w:p w14:paraId="00266097">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（七）总计</w:t>
            </w:r>
          </w:p>
        </w:tc>
        <w:tc>
          <w:tcPr>
            <w:tcW w:w="742" w:type="dxa"/>
            <w:shd w:val="clear" w:color="auto" w:fill="auto"/>
            <w:tcMar>
              <w:left w:w="108" w:type="dxa"/>
              <w:right w:w="108" w:type="dxa"/>
            </w:tcMar>
            <w:vAlign w:val="center"/>
          </w:tcPr>
          <w:p w14:paraId="2C55B4A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15E84D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F2710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69B655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411483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0B8A4E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0A9D09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r w14:paraId="0508B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934" w:type="dxa"/>
            <w:gridSpan w:val="3"/>
            <w:shd w:val="clear" w:color="auto" w:fill="auto"/>
            <w:tcMar>
              <w:left w:w="108" w:type="dxa"/>
              <w:right w:w="108" w:type="dxa"/>
            </w:tcMar>
            <w:vAlign w:val="center"/>
          </w:tcPr>
          <w:p w14:paraId="4D7B8B50">
            <w:pPr>
              <w:widowControl/>
              <w:spacing w:line="300" w:lineRule="exact"/>
              <w:rPr>
                <w:rFonts w:ascii="黑体" w:hAnsi="黑体" w:eastAsia="黑体"/>
                <w:b/>
                <w:bCs/>
                <w:kern w:val="0"/>
                <w:szCs w:val="21"/>
              </w:rPr>
            </w:pPr>
            <w:r>
              <w:rPr>
                <w:rFonts w:hint="eastAsia" w:ascii="方正仿宋简体" w:hAnsi="宋体" w:eastAsia="方正仿宋简体" w:cs="宋体"/>
                <w:b/>
                <w:kern w:val="0"/>
                <w:sz w:val="21"/>
                <w:szCs w:val="21"/>
                <w:lang w:bidi="ar"/>
              </w:rPr>
              <w:t>四、结转下年度继续办理</w:t>
            </w:r>
          </w:p>
        </w:tc>
        <w:tc>
          <w:tcPr>
            <w:tcW w:w="742" w:type="dxa"/>
            <w:shd w:val="clear" w:color="auto" w:fill="auto"/>
            <w:tcMar>
              <w:left w:w="108" w:type="dxa"/>
              <w:right w:w="108" w:type="dxa"/>
            </w:tcMar>
            <w:vAlign w:val="center"/>
          </w:tcPr>
          <w:p w14:paraId="28E02FE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394329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694F13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4A24A0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172A97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295E22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44887F4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bl>
    <w:p w14:paraId="63FE2819">
      <w:pPr>
        <w:spacing w:line="590" w:lineRule="exact"/>
        <w:ind w:right="-105" w:rightChars="-50" w:firstLine="643" w:firstLineChars="200"/>
        <w:rPr>
          <w:rFonts w:hint="eastAsia" w:ascii="方正黑体简体" w:hAnsi="Times New Roman" w:eastAsia="方正黑体简体" w:cs="Times New Roman"/>
          <w:b/>
          <w:kern w:val="0"/>
          <w:sz w:val="32"/>
          <w:szCs w:val="32"/>
        </w:rPr>
      </w:pPr>
      <w:r>
        <w:rPr>
          <w:rFonts w:hint="eastAsia" w:ascii="方正黑体简体" w:hAnsi="Times New Roman" w:eastAsia="方正黑体简体" w:cs="Times New Roman"/>
          <w:b/>
          <w:kern w:val="0"/>
          <w:sz w:val="32"/>
          <w:szCs w:val="32"/>
          <w:lang w:val="en-US" w:eastAsia="zh-CN"/>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59764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5BD2939">
            <w:pPr>
              <w:widowControl/>
              <w:jc w:val="center"/>
              <w:rPr>
                <w:rFonts w:ascii="黑体" w:hAnsi="黑体" w:eastAsia="黑体"/>
                <w:b/>
                <w:bCs/>
              </w:rPr>
            </w:pPr>
            <w:r>
              <w:rPr>
                <w:rFonts w:ascii="黑体" w:hAnsi="黑体" w:eastAsia="黑体"/>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D64B1B">
            <w:pPr>
              <w:widowControl/>
              <w:jc w:val="center"/>
              <w:rPr>
                <w:rFonts w:ascii="黑体" w:hAnsi="黑体" w:eastAsia="黑体"/>
                <w:b/>
                <w:bCs/>
              </w:rPr>
            </w:pPr>
            <w:r>
              <w:rPr>
                <w:rFonts w:ascii="黑体" w:hAnsi="黑体" w:eastAsia="黑体"/>
                <w:b/>
                <w:bCs/>
                <w:kern w:val="0"/>
                <w:sz w:val="20"/>
                <w:szCs w:val="20"/>
              </w:rPr>
              <w:t>行政诉讼</w:t>
            </w:r>
          </w:p>
        </w:tc>
      </w:tr>
      <w:tr w14:paraId="34C8B5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DC5BB5">
            <w:pPr>
              <w:widowControl/>
              <w:ind w:left="-149" w:leftChars="-71" w:right="-170" w:rightChars="-81"/>
              <w:jc w:val="center"/>
              <w:rPr>
                <w:rFonts w:ascii="黑体" w:hAnsi="黑体" w:eastAsia="黑体"/>
                <w:b/>
                <w:bCs/>
                <w:kern w:val="0"/>
                <w:sz w:val="20"/>
                <w:szCs w:val="20"/>
              </w:rPr>
            </w:pPr>
            <w:r>
              <w:rPr>
                <w:rFonts w:ascii="黑体" w:hAnsi="黑体" w:eastAsia="黑体"/>
                <w:b/>
                <w:bCs/>
                <w:kern w:val="0"/>
                <w:sz w:val="20"/>
                <w:szCs w:val="20"/>
              </w:rPr>
              <w:t>结果</w:t>
            </w:r>
          </w:p>
          <w:p w14:paraId="14538038">
            <w:pPr>
              <w:widowControl/>
              <w:ind w:left="-149" w:leftChars="-71" w:right="-170" w:rightChars="-81"/>
              <w:jc w:val="center"/>
              <w:rPr>
                <w:rFonts w:ascii="黑体" w:hAnsi="黑体" w:eastAsia="黑体"/>
                <w:b/>
                <w:bCs/>
              </w:rPr>
            </w:pPr>
            <w:r>
              <w:rPr>
                <w:rFonts w:ascii="黑体" w:hAnsi="黑体" w:eastAsia="黑体"/>
                <w:b/>
                <w:bCs/>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9DD3F69">
            <w:pPr>
              <w:widowControl/>
              <w:ind w:left="-43" w:leftChars="-21" w:right="-132" w:rightChars="-63" w:hanging="1"/>
              <w:jc w:val="center"/>
              <w:rPr>
                <w:rFonts w:ascii="黑体" w:hAnsi="黑体" w:eastAsia="黑体"/>
                <w:b/>
                <w:bCs/>
              </w:rPr>
            </w:pPr>
            <w:r>
              <w:rPr>
                <w:rFonts w:ascii="黑体" w:hAnsi="黑体" w:eastAsia="黑体"/>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9BECCF">
            <w:pPr>
              <w:widowControl/>
              <w:ind w:left="-82" w:leftChars="-39" w:right="-97" w:rightChars="-46"/>
              <w:jc w:val="center"/>
              <w:rPr>
                <w:rFonts w:ascii="黑体" w:hAnsi="黑体" w:eastAsia="黑体"/>
                <w:b/>
                <w:bCs/>
              </w:rPr>
            </w:pPr>
            <w:r>
              <w:rPr>
                <w:rFonts w:ascii="黑体" w:hAnsi="黑体" w:eastAsia="黑体"/>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90E721">
            <w:pPr>
              <w:widowControl/>
              <w:ind w:left="-118" w:leftChars="-56" w:right="-118" w:rightChars="-56"/>
              <w:jc w:val="center"/>
              <w:rPr>
                <w:rFonts w:ascii="黑体" w:hAnsi="黑体" w:eastAsia="黑体"/>
                <w:b/>
                <w:bCs/>
                <w:kern w:val="0"/>
                <w:sz w:val="20"/>
                <w:szCs w:val="20"/>
              </w:rPr>
            </w:pPr>
            <w:r>
              <w:rPr>
                <w:rFonts w:ascii="黑体" w:hAnsi="黑体" w:eastAsia="黑体"/>
                <w:b/>
                <w:bCs/>
                <w:kern w:val="0"/>
                <w:sz w:val="20"/>
                <w:szCs w:val="20"/>
              </w:rPr>
              <w:t>尚未</w:t>
            </w:r>
          </w:p>
          <w:p w14:paraId="26436B2E">
            <w:pPr>
              <w:widowControl/>
              <w:ind w:left="-118" w:leftChars="-56" w:right="-118" w:rightChars="-56"/>
              <w:jc w:val="center"/>
              <w:rPr>
                <w:rFonts w:ascii="黑体" w:hAnsi="黑体" w:eastAsia="黑体"/>
                <w:b/>
                <w:bCs/>
              </w:rPr>
            </w:pPr>
            <w:r>
              <w:rPr>
                <w:rFonts w:ascii="黑体" w:hAnsi="黑体" w:eastAsia="黑体"/>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0A029C">
            <w:pPr>
              <w:widowControl/>
              <w:spacing w:line="320" w:lineRule="exact"/>
              <w:jc w:val="center"/>
              <w:rPr>
                <w:rFonts w:ascii="黑体" w:hAnsi="黑体" w:eastAsia="黑体"/>
                <w:b/>
                <w:bCs/>
                <w:kern w:val="0"/>
                <w:sz w:val="20"/>
                <w:szCs w:val="20"/>
              </w:rPr>
            </w:pPr>
            <w:r>
              <w:rPr>
                <w:rFonts w:ascii="黑体" w:hAnsi="黑体" w:eastAsia="黑体"/>
                <w:b/>
                <w:bCs/>
                <w:kern w:val="0"/>
                <w:sz w:val="20"/>
                <w:szCs w:val="20"/>
              </w:rPr>
              <w:t>总</w:t>
            </w:r>
          </w:p>
          <w:p w14:paraId="4E66D4E0">
            <w:pPr>
              <w:widowControl/>
              <w:spacing w:line="320" w:lineRule="exact"/>
              <w:jc w:val="center"/>
              <w:rPr>
                <w:rFonts w:ascii="黑体" w:hAnsi="黑体" w:eastAsia="黑体"/>
                <w:b/>
                <w:bCs/>
              </w:rPr>
            </w:pPr>
            <w:r>
              <w:rPr>
                <w:rFonts w:ascii="黑体" w:hAnsi="黑体" w:eastAsia="黑体"/>
                <w:b/>
                <w:bCs/>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48710F">
            <w:pPr>
              <w:widowControl/>
              <w:jc w:val="center"/>
              <w:rPr>
                <w:rFonts w:ascii="黑体" w:hAnsi="黑体" w:eastAsia="黑体"/>
                <w:b/>
                <w:bCs/>
              </w:rPr>
            </w:pPr>
            <w:r>
              <w:rPr>
                <w:rFonts w:ascii="黑体" w:hAnsi="黑体" w:eastAsia="黑体"/>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C2C6D2">
            <w:pPr>
              <w:widowControl/>
              <w:jc w:val="center"/>
              <w:rPr>
                <w:rFonts w:ascii="黑体" w:hAnsi="黑体" w:eastAsia="黑体"/>
                <w:b/>
                <w:bCs/>
              </w:rPr>
            </w:pPr>
            <w:bookmarkStart w:id="9" w:name="_Hlk67039688"/>
            <w:r>
              <w:rPr>
                <w:rFonts w:ascii="黑体" w:hAnsi="黑体" w:eastAsia="黑体"/>
                <w:b/>
                <w:bCs/>
                <w:kern w:val="0"/>
                <w:sz w:val="20"/>
                <w:szCs w:val="20"/>
              </w:rPr>
              <w:t>复议后起诉</w:t>
            </w:r>
            <w:bookmarkEnd w:id="9"/>
          </w:p>
        </w:tc>
      </w:tr>
      <w:tr w14:paraId="4FA43E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7033EB6">
            <w:pPr>
              <w:rPr>
                <w:rFonts w:ascii="黑体" w:hAnsi="黑体" w:eastAsia="黑体"/>
                <w:b/>
                <w:bCs/>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8CF3194">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F97806">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A69BB7">
            <w:pPr>
              <w:rPr>
                <w:rFonts w:ascii="黑体" w:hAnsi="黑体" w:eastAsia="黑体"/>
                <w:b/>
                <w:bCs/>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5848CC">
            <w:pPr>
              <w:rPr>
                <w:rFonts w:ascii="黑体" w:hAnsi="黑体" w:eastAsia="黑体"/>
                <w:b/>
                <w:bCs/>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CA07024">
            <w:pPr>
              <w:widowControl/>
              <w:ind w:left="-105" w:leftChars="-50" w:right="-126" w:rightChars="-60"/>
              <w:jc w:val="center"/>
              <w:rPr>
                <w:rFonts w:ascii="黑体" w:hAnsi="黑体" w:eastAsia="黑体"/>
                <w:b/>
                <w:bCs/>
              </w:rPr>
            </w:pPr>
            <w:r>
              <w:rPr>
                <w:rFonts w:ascii="黑体" w:hAnsi="黑体" w:eastAsia="黑体"/>
                <w:b/>
                <w:bCs/>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88FC232">
            <w:pPr>
              <w:widowControl/>
              <w:ind w:left="-86" w:leftChars="-41" w:right="-88" w:rightChars="-42"/>
              <w:jc w:val="center"/>
              <w:rPr>
                <w:rFonts w:ascii="黑体" w:hAnsi="黑体" w:eastAsia="黑体"/>
                <w:b/>
                <w:bCs/>
              </w:rPr>
            </w:pPr>
            <w:r>
              <w:rPr>
                <w:rFonts w:ascii="黑体" w:hAnsi="黑体" w:eastAsia="黑体"/>
                <w:b/>
                <w:bCs/>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4E36E9">
            <w:pPr>
              <w:widowControl/>
              <w:ind w:left="-126" w:leftChars="-60" w:right="-136" w:rightChars="-65"/>
              <w:jc w:val="center"/>
              <w:rPr>
                <w:rFonts w:ascii="黑体" w:hAnsi="黑体" w:eastAsia="黑体"/>
                <w:b/>
                <w:bCs/>
                <w:kern w:val="0"/>
                <w:sz w:val="20"/>
                <w:szCs w:val="20"/>
              </w:rPr>
            </w:pPr>
            <w:r>
              <w:rPr>
                <w:rFonts w:ascii="黑体" w:hAnsi="黑体" w:eastAsia="黑体"/>
                <w:b/>
                <w:bCs/>
                <w:kern w:val="0"/>
                <w:sz w:val="20"/>
                <w:szCs w:val="20"/>
              </w:rPr>
              <w:t>其他</w:t>
            </w:r>
          </w:p>
          <w:p w14:paraId="78D957B7">
            <w:pPr>
              <w:widowControl/>
              <w:ind w:left="-126" w:leftChars="-60" w:right="-136" w:rightChars="-65"/>
              <w:jc w:val="center"/>
              <w:rPr>
                <w:rFonts w:ascii="黑体" w:hAnsi="黑体" w:eastAsia="黑体"/>
                <w:b/>
                <w:bCs/>
              </w:rPr>
            </w:pPr>
            <w:r>
              <w:rPr>
                <w:rFonts w:ascii="黑体" w:hAnsi="黑体" w:eastAsia="黑体"/>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4ED8F8">
            <w:pPr>
              <w:widowControl/>
              <w:ind w:left="-164" w:leftChars="-78" w:right="-153" w:rightChars="-73"/>
              <w:jc w:val="center"/>
              <w:rPr>
                <w:rFonts w:ascii="黑体" w:hAnsi="黑体" w:eastAsia="黑体"/>
                <w:b/>
                <w:bCs/>
                <w:kern w:val="0"/>
                <w:sz w:val="20"/>
                <w:szCs w:val="20"/>
              </w:rPr>
            </w:pPr>
            <w:r>
              <w:rPr>
                <w:rFonts w:ascii="黑体" w:hAnsi="黑体" w:eastAsia="黑体"/>
                <w:b/>
                <w:bCs/>
                <w:kern w:val="0"/>
                <w:sz w:val="20"/>
                <w:szCs w:val="20"/>
              </w:rPr>
              <w:t>尚未</w:t>
            </w:r>
          </w:p>
          <w:p w14:paraId="3018214A">
            <w:pPr>
              <w:widowControl/>
              <w:ind w:left="-164" w:leftChars="-78" w:right="-153" w:rightChars="-73"/>
              <w:jc w:val="center"/>
              <w:rPr>
                <w:rFonts w:ascii="黑体" w:hAnsi="黑体" w:eastAsia="黑体"/>
                <w:b/>
                <w:bCs/>
              </w:rPr>
            </w:pPr>
            <w:r>
              <w:rPr>
                <w:rFonts w:ascii="黑体" w:hAnsi="黑体" w:eastAsia="黑体"/>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275571F">
            <w:pPr>
              <w:widowControl/>
              <w:jc w:val="center"/>
              <w:rPr>
                <w:rFonts w:ascii="黑体" w:hAnsi="黑体" w:eastAsia="黑体"/>
                <w:b/>
                <w:bCs/>
              </w:rPr>
            </w:pPr>
            <w:r>
              <w:rPr>
                <w:rFonts w:ascii="黑体" w:hAnsi="黑体" w:eastAsia="黑体"/>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072F24">
            <w:pPr>
              <w:widowControl/>
              <w:ind w:left="-99" w:leftChars="-47" w:right="-78" w:rightChars="-37"/>
              <w:jc w:val="center"/>
              <w:rPr>
                <w:rFonts w:ascii="黑体" w:hAnsi="黑体" w:eastAsia="黑体"/>
                <w:b/>
                <w:bCs/>
              </w:rPr>
            </w:pPr>
            <w:r>
              <w:rPr>
                <w:rFonts w:ascii="黑体" w:hAnsi="黑体" w:eastAsia="黑体"/>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C7521A">
            <w:pPr>
              <w:widowControl/>
              <w:ind w:left="-136" w:leftChars="-65" w:right="-124" w:rightChars="-59"/>
              <w:jc w:val="center"/>
              <w:rPr>
                <w:rFonts w:ascii="黑体" w:hAnsi="黑体" w:eastAsia="黑体"/>
                <w:b/>
                <w:bCs/>
                <w:kern w:val="0"/>
                <w:sz w:val="20"/>
                <w:szCs w:val="20"/>
              </w:rPr>
            </w:pPr>
            <w:r>
              <w:rPr>
                <w:rFonts w:ascii="黑体" w:hAnsi="黑体" w:eastAsia="黑体"/>
                <w:b/>
                <w:bCs/>
                <w:kern w:val="0"/>
                <w:sz w:val="20"/>
                <w:szCs w:val="20"/>
              </w:rPr>
              <w:t>结果</w:t>
            </w:r>
          </w:p>
          <w:p w14:paraId="6E16B3D9">
            <w:pPr>
              <w:widowControl/>
              <w:ind w:left="-136" w:leftChars="-65" w:right="-124" w:rightChars="-59"/>
              <w:jc w:val="center"/>
              <w:rPr>
                <w:rFonts w:ascii="黑体" w:hAnsi="黑体" w:eastAsia="黑体"/>
                <w:b/>
                <w:bCs/>
              </w:rPr>
            </w:pPr>
            <w:r>
              <w:rPr>
                <w:rFonts w:ascii="黑体" w:hAnsi="黑体" w:eastAsia="黑体"/>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F09D94">
            <w:pPr>
              <w:widowControl/>
              <w:ind w:left="-173" w:leftChars="-83" w:right="-134" w:rightChars="-64" w:hanging="1"/>
              <w:jc w:val="center"/>
              <w:rPr>
                <w:rFonts w:ascii="黑体" w:hAnsi="黑体" w:eastAsia="黑体"/>
                <w:b/>
                <w:bCs/>
                <w:kern w:val="0"/>
                <w:sz w:val="20"/>
                <w:szCs w:val="20"/>
              </w:rPr>
            </w:pPr>
            <w:r>
              <w:rPr>
                <w:rFonts w:ascii="黑体" w:hAnsi="黑体" w:eastAsia="黑体"/>
                <w:b/>
                <w:bCs/>
                <w:kern w:val="0"/>
                <w:sz w:val="20"/>
                <w:szCs w:val="20"/>
              </w:rPr>
              <w:t>其他</w:t>
            </w:r>
          </w:p>
          <w:p w14:paraId="2000E7EA">
            <w:pPr>
              <w:widowControl/>
              <w:ind w:left="-173" w:leftChars="-83" w:right="-134" w:rightChars="-64" w:hanging="1"/>
              <w:jc w:val="center"/>
              <w:rPr>
                <w:rFonts w:ascii="黑体" w:hAnsi="黑体" w:eastAsia="黑体"/>
                <w:b/>
                <w:bCs/>
              </w:rPr>
            </w:pPr>
            <w:r>
              <w:rPr>
                <w:rFonts w:ascii="黑体" w:hAnsi="黑体" w:eastAsia="黑体"/>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288B0C">
            <w:pPr>
              <w:widowControl/>
              <w:ind w:left="-67" w:leftChars="-33" w:right="-105" w:rightChars="-50" w:hanging="2" w:hangingChars="1"/>
              <w:jc w:val="center"/>
              <w:rPr>
                <w:rFonts w:ascii="黑体" w:hAnsi="黑体" w:eastAsia="黑体"/>
                <w:b/>
                <w:bCs/>
              </w:rPr>
            </w:pPr>
            <w:r>
              <w:rPr>
                <w:rFonts w:ascii="黑体" w:hAnsi="黑体" w:eastAsia="黑体"/>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BCF549">
            <w:pPr>
              <w:widowControl/>
              <w:jc w:val="center"/>
              <w:rPr>
                <w:rFonts w:ascii="黑体" w:hAnsi="黑体" w:eastAsia="黑体"/>
                <w:b/>
                <w:bCs/>
              </w:rPr>
            </w:pPr>
            <w:r>
              <w:rPr>
                <w:rFonts w:ascii="黑体" w:hAnsi="黑体" w:eastAsia="黑体"/>
                <w:b/>
                <w:bCs/>
                <w:kern w:val="0"/>
                <w:sz w:val="20"/>
                <w:szCs w:val="20"/>
              </w:rPr>
              <w:t>总计</w:t>
            </w:r>
          </w:p>
        </w:tc>
      </w:tr>
      <w:tr w14:paraId="53B8A7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7"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0480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A40F6E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24251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F4547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340DB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6AB1E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D83AF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CF117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E5BE7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9756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391D1F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37D8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F0597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8BD364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B9310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bl>
    <w:p w14:paraId="0AAC6CAE">
      <w:pPr>
        <w:spacing w:line="590" w:lineRule="exact"/>
        <w:ind w:right="-105" w:rightChars="-50" w:firstLine="643" w:firstLineChars="200"/>
        <w:rPr>
          <w:rFonts w:hint="eastAsia" w:ascii="方正黑体简体" w:hAnsi="Times New Roman" w:eastAsia="方正黑体简体" w:cs="Times New Roman"/>
          <w:b/>
          <w:kern w:val="0"/>
          <w:sz w:val="32"/>
          <w:szCs w:val="32"/>
          <w:lang w:val="en-US" w:eastAsia="zh-CN"/>
        </w:rPr>
      </w:pPr>
      <w:r>
        <w:rPr>
          <w:rFonts w:hint="eastAsia" w:ascii="方正黑体简体" w:hAnsi="Times New Roman" w:eastAsia="方正黑体简体" w:cs="Times New Roman"/>
          <w:b/>
          <w:kern w:val="0"/>
          <w:sz w:val="32"/>
          <w:szCs w:val="32"/>
          <w:lang w:val="en-US" w:eastAsia="zh-CN"/>
        </w:rPr>
        <w:t>五、存在的主要问题及改进情况</w:t>
      </w:r>
    </w:p>
    <w:p w14:paraId="61B8333C">
      <w:pPr>
        <w:keepNext w:val="0"/>
        <w:keepLines w:val="0"/>
        <w:widowControl/>
        <w:suppressLineNumbers w:val="0"/>
        <w:ind w:firstLine="643" w:firstLineChars="200"/>
        <w:jc w:val="left"/>
        <w:rPr>
          <w:rFonts w:hint="eastAsia" w:ascii="方正仿宋简体" w:hAnsi="Times New Roman" w:eastAsia="方正仿宋简体" w:cs="Times New Roman"/>
          <w:b/>
          <w:kern w:val="0"/>
          <w:sz w:val="32"/>
          <w:szCs w:val="32"/>
          <w:lang w:val="en-US" w:eastAsia="zh-CN"/>
        </w:rPr>
      </w:pPr>
      <w:r>
        <w:rPr>
          <w:rFonts w:hint="eastAsia" w:ascii="Times New Roman" w:hAnsi="Times New Roman" w:eastAsia="方正仿宋简体" w:cs="Times New Roman"/>
          <w:b/>
          <w:color w:val="000000"/>
          <w:kern w:val="0"/>
          <w:sz w:val="32"/>
          <w:szCs w:val="32"/>
          <w:lang w:eastAsia="zh-CN"/>
        </w:rPr>
        <w:t>2025年，区党工委政法委员会政务信息公开工作虽稳步推进，但对照上级要求与群众多元化需求，仍存在短板不足。一是数字化应用水平有待提升，</w:t>
      </w:r>
      <w:r>
        <w:rPr>
          <w:rFonts w:hint="eastAsia" w:ascii="Times New Roman" w:hAnsi="Times New Roman" w:eastAsia="方正仿宋简体" w:cs="Times New Roman"/>
          <w:b/>
          <w:color w:val="000000"/>
          <w:kern w:val="0"/>
          <w:sz w:val="32"/>
          <w:szCs w:val="32"/>
          <w:lang w:val="en-US" w:eastAsia="zh-CN"/>
        </w:rPr>
        <w:t>公开形式不够丰富，</w:t>
      </w:r>
      <w:r>
        <w:rPr>
          <w:rFonts w:hint="eastAsia" w:ascii="Times New Roman" w:hAnsi="Times New Roman" w:eastAsia="方正仿宋简体" w:cs="Times New Roman"/>
          <w:b/>
          <w:color w:val="000000"/>
          <w:kern w:val="0"/>
          <w:sz w:val="32"/>
          <w:szCs w:val="32"/>
          <w:lang w:eastAsia="zh-CN"/>
        </w:rPr>
        <w:t>政务新媒体与公众互动交流不够充分；二是个别栏目动态更新频次不均，公开时效与群众期盼存在差距。三是</w:t>
      </w:r>
      <w:r>
        <w:rPr>
          <w:rFonts w:hint="eastAsia" w:ascii="Times New Roman" w:hAnsi="Times New Roman" w:eastAsia="方正仿宋简体" w:cs="Times New Roman"/>
          <w:b/>
          <w:color w:val="000000"/>
          <w:kern w:val="0"/>
          <w:sz w:val="32"/>
          <w:szCs w:val="32"/>
          <w:lang w:val="en-US" w:eastAsia="zh-CN"/>
        </w:rPr>
        <w:t>部分工作人员的公开意识还不够强、依申请公开办理工作水平仍需提高等。</w:t>
      </w:r>
      <w:r>
        <w:rPr>
          <w:rFonts w:hint="eastAsia" w:ascii="Times New Roman" w:hAnsi="Times New Roman" w:eastAsia="方正仿宋简体" w:cs="Times New Roman"/>
          <w:b/>
          <w:color w:val="000000"/>
          <w:kern w:val="0"/>
          <w:sz w:val="32"/>
          <w:szCs w:val="32"/>
          <w:lang w:eastAsia="zh-CN"/>
        </w:rPr>
        <w:t>下一步，区党工委政法委将进一步完善政府信息公开工作。</w:t>
      </w:r>
      <w:r>
        <w:rPr>
          <w:rFonts w:hint="eastAsia" w:ascii="Times New Roman" w:hAnsi="Times New Roman" w:eastAsia="方正仿宋简体" w:cs="Times New Roman"/>
          <w:b/>
          <w:color w:val="000000"/>
          <w:kern w:val="0"/>
          <w:sz w:val="32"/>
          <w:szCs w:val="32"/>
          <w:lang w:val="en-US" w:eastAsia="zh-CN"/>
        </w:rPr>
        <w:t>一是建立并严格执行信息更新机制，确保信息定期且实时发布，同时提升信息质量，通过严格审核流程确保内容准确无误，并采用多样化的呈现方式增强可读性。</w:t>
      </w:r>
      <w:r>
        <w:rPr>
          <w:rFonts w:hint="eastAsia" w:ascii="Times New Roman" w:hAnsi="Times New Roman" w:eastAsia="方正仿宋简体" w:cs="Times New Roman"/>
          <w:b/>
          <w:color w:val="000000"/>
          <w:kern w:val="0"/>
          <w:sz w:val="32"/>
          <w:szCs w:val="32"/>
          <w:lang w:eastAsia="zh-CN"/>
        </w:rPr>
        <w:t>二是强化公开意识。精准梳理公开要点，提升信息公开的针对性与实效性，严格按流程推进公开工作，保障群众知情权、参与权。三是完善制度体系。完善政策解读、动态更新等制度，运用好平台各项功能，提升信息公开便捷度与互动性。</w:t>
      </w:r>
    </w:p>
    <w:p w14:paraId="38450BBC">
      <w:pPr>
        <w:spacing w:line="590" w:lineRule="exact"/>
        <w:ind w:right="-105" w:rightChars="-50" w:firstLine="643" w:firstLineChars="200"/>
        <w:rPr>
          <w:rFonts w:hint="eastAsia" w:ascii="方正黑体简体" w:hAnsi="Times New Roman" w:eastAsia="方正黑体简体" w:cs="Times New Roman"/>
          <w:b/>
          <w:kern w:val="0"/>
          <w:sz w:val="32"/>
          <w:szCs w:val="32"/>
          <w:lang w:val="en-US" w:eastAsia="zh-CN"/>
        </w:rPr>
      </w:pPr>
      <w:r>
        <w:rPr>
          <w:rFonts w:hint="eastAsia" w:ascii="方正黑体简体" w:hAnsi="Times New Roman" w:eastAsia="方正黑体简体" w:cs="Times New Roman"/>
          <w:b/>
          <w:kern w:val="0"/>
          <w:sz w:val="32"/>
          <w:szCs w:val="32"/>
          <w:lang w:val="en-US" w:eastAsia="zh-CN"/>
        </w:rPr>
        <w:t>六、其他需要报告的事项</w:t>
      </w:r>
    </w:p>
    <w:p w14:paraId="2B19D41B">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（一）依据《政府信息公开信息处理费管理办法》收取信息处理费的情况</w:t>
      </w:r>
    </w:p>
    <w:p w14:paraId="37669BCD">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eastAsia" w:ascii="方正仿宋简体" w:hAnsi="Times New Roman" w:eastAsia="方正仿宋简体" w:cs="Times New Roman"/>
          <w:b/>
          <w:kern w:val="0"/>
          <w:sz w:val="32"/>
          <w:szCs w:val="32"/>
          <w:lang w:val="en-US" w:eastAsia="zh-CN"/>
        </w:rPr>
        <w:t>本年本单位未发生收取信息处理费的情况。</w:t>
      </w:r>
    </w:p>
    <w:p w14:paraId="72D92723">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（二）落实上级年度政务公开工作要点情况</w:t>
      </w:r>
    </w:p>
    <w:p w14:paraId="3FE06B90">
      <w:pPr>
        <w:spacing w:line="590" w:lineRule="exact"/>
        <w:ind w:right="-105" w:rightChars="-50" w:firstLine="643" w:firstLineChars="200"/>
        <w:rPr>
          <w:rFonts w:hint="default" w:ascii="Times New Roman" w:hAnsi="Times New Roman" w:eastAsia="方正仿宋简体" w:cs="Times New Roman"/>
          <w:b/>
          <w:kern w:val="0"/>
          <w:sz w:val="32"/>
          <w:szCs w:val="32"/>
          <w:lang w:val="en-US" w:eastAsia="zh-CN"/>
        </w:rPr>
      </w:pPr>
      <w:r>
        <w:rPr>
          <w:rFonts w:hint="default" w:ascii="Times New Roman" w:hAnsi="Times New Roman" w:eastAsia="方正仿宋简体" w:cs="Times New Roman"/>
          <w:b/>
          <w:kern w:val="0"/>
          <w:sz w:val="32"/>
          <w:szCs w:val="32"/>
          <w:lang w:val="en-US" w:eastAsia="zh-CN"/>
        </w:rPr>
        <w:t>202</w:t>
      </w:r>
      <w:r>
        <w:rPr>
          <w:rFonts w:hint="eastAsia" w:ascii="Times New Roman" w:hAnsi="Times New Roman" w:eastAsia="方正仿宋简体" w:cs="Times New Roman"/>
          <w:b/>
          <w:kern w:val="0"/>
          <w:sz w:val="32"/>
          <w:szCs w:val="32"/>
          <w:lang w:val="en-US" w:eastAsia="zh-CN"/>
        </w:rPr>
        <w:t>5</w:t>
      </w:r>
      <w:r>
        <w:rPr>
          <w:rFonts w:hint="default" w:ascii="Times New Roman" w:hAnsi="Times New Roman" w:eastAsia="方正仿宋简体" w:cs="Times New Roman"/>
          <w:b/>
          <w:kern w:val="0"/>
          <w:sz w:val="32"/>
          <w:szCs w:val="32"/>
          <w:lang w:val="en-US" w:eastAsia="zh-CN"/>
        </w:rPr>
        <w:t>年，区</w:t>
      </w:r>
      <w:r>
        <w:rPr>
          <w:rFonts w:hint="eastAsia" w:ascii="Times New Roman" w:hAnsi="Times New Roman" w:eastAsia="方正仿宋简体" w:cs="Times New Roman"/>
          <w:b/>
          <w:kern w:val="0"/>
          <w:sz w:val="32"/>
          <w:szCs w:val="32"/>
          <w:lang w:val="en-US" w:eastAsia="zh-CN"/>
        </w:rPr>
        <w:t>党工委</w:t>
      </w:r>
      <w:r>
        <w:rPr>
          <w:rFonts w:hint="default" w:ascii="Times New Roman" w:hAnsi="Times New Roman" w:eastAsia="方正仿宋简体" w:cs="Times New Roman"/>
          <w:b/>
          <w:kern w:val="0"/>
          <w:sz w:val="32"/>
          <w:szCs w:val="32"/>
          <w:lang w:val="en-US" w:eastAsia="zh-CN"/>
        </w:rPr>
        <w:t>政法委员会认真落实</w:t>
      </w:r>
      <w:r>
        <w:rPr>
          <w:rFonts w:hint="eastAsia" w:ascii="Times New Roman" w:hAnsi="Times New Roman" w:eastAsia="方正仿宋简体" w:cs="Times New Roman"/>
          <w:b/>
          <w:kern w:val="0"/>
          <w:sz w:val="32"/>
          <w:szCs w:val="32"/>
          <w:lang w:val="en-US" w:eastAsia="zh-CN"/>
        </w:rPr>
        <w:t>区党工委、管委会</w:t>
      </w:r>
      <w:r>
        <w:rPr>
          <w:rFonts w:hint="default" w:ascii="Times New Roman" w:hAnsi="Times New Roman" w:eastAsia="方正仿宋简体" w:cs="Times New Roman"/>
          <w:b/>
          <w:kern w:val="0"/>
          <w:sz w:val="32"/>
          <w:szCs w:val="32"/>
          <w:lang w:val="en-US" w:eastAsia="zh-CN"/>
        </w:rPr>
        <w:t>关于政务公开工作的各项要求，</w:t>
      </w:r>
      <w:r>
        <w:rPr>
          <w:rFonts w:hint="eastAsia" w:ascii="Times New Roman" w:hAnsi="Times New Roman" w:eastAsia="方正仿宋简体" w:cs="Times New Roman"/>
          <w:b/>
          <w:kern w:val="0"/>
          <w:sz w:val="32"/>
          <w:szCs w:val="32"/>
          <w:lang w:val="en-US" w:eastAsia="zh-CN"/>
        </w:rPr>
        <w:t>不断</w:t>
      </w:r>
      <w:r>
        <w:rPr>
          <w:rFonts w:hint="default" w:ascii="Times New Roman" w:hAnsi="Times New Roman" w:eastAsia="方正仿宋简体" w:cs="Times New Roman"/>
          <w:b/>
          <w:kern w:val="0"/>
          <w:sz w:val="32"/>
          <w:szCs w:val="32"/>
          <w:lang w:val="en-US" w:eastAsia="zh-CN"/>
        </w:rPr>
        <w:t>加强干部职工政务公开业务培训，增强工作人员公开意识和工作水平</w:t>
      </w:r>
      <w:r>
        <w:rPr>
          <w:rFonts w:hint="eastAsia" w:ascii="Times New Roman" w:hAnsi="Times New Roman" w:eastAsia="方正仿宋简体" w:cs="Times New Roman"/>
          <w:b/>
          <w:kern w:val="0"/>
          <w:sz w:val="32"/>
          <w:szCs w:val="32"/>
          <w:lang w:val="en-US" w:eastAsia="zh-CN"/>
        </w:rPr>
        <w:t>。</w:t>
      </w:r>
      <w:r>
        <w:rPr>
          <w:rFonts w:hint="default" w:ascii="Times New Roman" w:hAnsi="Times New Roman" w:eastAsia="方正仿宋简体" w:cs="Times New Roman"/>
          <w:b/>
          <w:kern w:val="0"/>
          <w:sz w:val="32"/>
          <w:szCs w:val="32"/>
          <w:lang w:val="en-US" w:eastAsia="zh-CN"/>
        </w:rPr>
        <w:t>及时调整政务公开内容，不断拓展、丰富公开方式，确保应公开信息尽公开，不断提升政务公开能力水平。</w:t>
      </w:r>
    </w:p>
    <w:p w14:paraId="46215751">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val="en-US" w:eastAsia="zh-CN"/>
        </w:rPr>
      </w:pPr>
      <w:r>
        <w:rPr>
          <w:rFonts w:hint="default" w:ascii="方正楷体简体" w:hAnsi="Times New Roman" w:eastAsia="方正楷体简体" w:cs="Times New Roman"/>
          <w:b/>
          <w:color w:val="000000"/>
          <w:kern w:val="0"/>
          <w:sz w:val="32"/>
          <w:szCs w:val="32"/>
          <w:lang w:val="en-US" w:eastAsia="zh-CN"/>
        </w:rPr>
        <w:t>（三）</w:t>
      </w:r>
      <w:r>
        <w:rPr>
          <w:rFonts w:hint="eastAsia" w:ascii="方正楷体简体" w:hAnsi="Times New Roman" w:eastAsia="方正楷体简体" w:cs="Times New Roman"/>
          <w:b/>
          <w:color w:val="000000"/>
          <w:kern w:val="0"/>
          <w:sz w:val="32"/>
          <w:szCs w:val="32"/>
          <w:lang w:val="en-US" w:eastAsia="zh-CN"/>
        </w:rPr>
        <w:t>人大代表建议和政协提案办理结果公开情况</w:t>
      </w:r>
    </w:p>
    <w:p w14:paraId="3832F734">
      <w:pPr>
        <w:spacing w:line="590" w:lineRule="exact"/>
        <w:ind w:right="-105" w:rightChars="-50" w:firstLine="643" w:firstLineChars="200"/>
        <w:rPr>
          <w:rFonts w:hint="default" w:ascii="Times New Roman" w:hAnsi="Times New Roman" w:eastAsia="方正仿宋简体" w:cs="Times New Roman"/>
          <w:b/>
          <w:kern w:val="0"/>
          <w:sz w:val="32"/>
          <w:szCs w:val="32"/>
          <w:lang w:val="en-US" w:eastAsia="zh-CN"/>
        </w:rPr>
      </w:pPr>
      <w:r>
        <w:rPr>
          <w:rFonts w:hint="default" w:ascii="Times New Roman" w:hAnsi="Times New Roman" w:eastAsia="方正仿宋简体" w:cs="Times New Roman"/>
          <w:b/>
          <w:kern w:val="0"/>
          <w:sz w:val="32"/>
          <w:szCs w:val="32"/>
          <w:lang w:val="en-US" w:eastAsia="zh-CN"/>
        </w:rPr>
        <w:t>无。</w:t>
      </w:r>
    </w:p>
    <w:p w14:paraId="156B0F88">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w:t>
      </w:r>
      <w:r>
        <w:rPr>
          <w:rFonts w:hint="eastAsia" w:ascii="方正楷体简体" w:hAnsi="Times New Roman" w:eastAsia="方正楷体简体" w:cs="Times New Roman"/>
          <w:b/>
          <w:color w:val="000000"/>
          <w:kern w:val="0"/>
          <w:sz w:val="32"/>
          <w:szCs w:val="32"/>
          <w:lang w:val="en-US" w:eastAsia="zh-CN"/>
        </w:rPr>
        <w:t>四</w:t>
      </w:r>
      <w:r>
        <w:rPr>
          <w:rFonts w:hint="eastAsia" w:ascii="方正楷体简体" w:hAnsi="Times New Roman" w:eastAsia="方正楷体简体" w:cs="Times New Roman"/>
          <w:b/>
          <w:color w:val="000000"/>
          <w:kern w:val="0"/>
          <w:sz w:val="32"/>
          <w:szCs w:val="32"/>
          <w:lang w:eastAsia="zh-CN"/>
        </w:rPr>
        <w:t>）年度政务公开工作创新情况</w:t>
      </w:r>
    </w:p>
    <w:p w14:paraId="5ED8FB13">
      <w:pPr>
        <w:spacing w:line="590" w:lineRule="exact"/>
        <w:ind w:right="-105" w:rightChars="-50" w:firstLine="643" w:firstLineChars="200"/>
        <w:rPr>
          <w:rFonts w:hint="eastAsia" w:ascii="Times New Roman" w:hAnsi="Times New Roman" w:eastAsia="方正仿宋简体" w:cs="Times New Roman"/>
          <w:b/>
          <w:kern w:val="0"/>
          <w:sz w:val="32"/>
          <w:szCs w:val="32"/>
          <w:lang w:val="en-US" w:eastAsia="zh-CN"/>
        </w:rPr>
      </w:pPr>
      <w:r>
        <w:rPr>
          <w:rFonts w:hint="default" w:ascii="Times New Roman" w:hAnsi="Times New Roman" w:eastAsia="方正仿宋简体" w:cs="Times New Roman"/>
          <w:b/>
          <w:kern w:val="0"/>
          <w:sz w:val="32"/>
          <w:szCs w:val="32"/>
          <w:lang w:val="en-US" w:eastAsia="zh-CN"/>
        </w:rPr>
        <w:t>区</w:t>
      </w:r>
      <w:r>
        <w:rPr>
          <w:rFonts w:hint="eastAsia" w:ascii="Times New Roman" w:hAnsi="Times New Roman" w:eastAsia="方正仿宋简体" w:cs="Times New Roman"/>
          <w:b/>
          <w:kern w:val="0"/>
          <w:sz w:val="32"/>
          <w:szCs w:val="32"/>
          <w:lang w:val="en-US" w:eastAsia="zh-CN"/>
        </w:rPr>
        <w:t>党工委</w:t>
      </w:r>
      <w:r>
        <w:rPr>
          <w:rFonts w:hint="default" w:ascii="Times New Roman" w:hAnsi="Times New Roman" w:eastAsia="方正仿宋简体" w:cs="Times New Roman"/>
          <w:b/>
          <w:kern w:val="0"/>
          <w:sz w:val="32"/>
          <w:szCs w:val="32"/>
          <w:lang w:val="en-US" w:eastAsia="zh-CN"/>
        </w:rPr>
        <w:t>政法委员会坚持线上与线下相结合，传统媒体与新媒体互补，构建全方位、多层次的政务公开平台矩阵。</w:t>
      </w:r>
      <w:r>
        <w:rPr>
          <w:rFonts w:hint="eastAsia" w:ascii="Times New Roman" w:hAnsi="Times New Roman" w:eastAsia="方正仿宋简体" w:cs="Times New Roman"/>
          <w:b/>
          <w:kern w:val="0"/>
          <w:sz w:val="32"/>
          <w:szCs w:val="32"/>
          <w:lang w:val="en-US" w:eastAsia="zh-CN"/>
        </w:rPr>
        <w:t>积极创新政务公开形式，科室积极探索构建微信公众号、普法微博号“两号联动”的政务公开和宣传工作矩阵，加强政策解读，提升公开效果。</w:t>
      </w:r>
    </w:p>
    <w:p w14:paraId="7D51F9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panose1 w:val="03000509000000000000"/>
    <w:charset w:val="86"/>
    <w:family w:val="auto"/>
    <w:pitch w:val="default"/>
    <w:sig w:usb0="00000001" w:usb1="080E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mFhNjFiYTk2NjBmYTM3YzA4ZjQzOGQyNzQ4ZDQifQ=="/>
  </w:docVars>
  <w:rsids>
    <w:rsidRoot w:val="5B1E1112"/>
    <w:rsid w:val="00F96DAA"/>
    <w:rsid w:val="0FAB0EE6"/>
    <w:rsid w:val="11B56073"/>
    <w:rsid w:val="1E6050AB"/>
    <w:rsid w:val="1EB5391B"/>
    <w:rsid w:val="1F4D3D58"/>
    <w:rsid w:val="2ED81174"/>
    <w:rsid w:val="3D94095C"/>
    <w:rsid w:val="520B6FE7"/>
    <w:rsid w:val="5B1E1112"/>
    <w:rsid w:val="5B3B553A"/>
    <w:rsid w:val="60620DE0"/>
    <w:rsid w:val="63FED3D9"/>
    <w:rsid w:val="65E93E45"/>
    <w:rsid w:val="66DEAD40"/>
    <w:rsid w:val="73FB5472"/>
    <w:rsid w:val="7C9D7331"/>
    <w:rsid w:val="F4FC3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2611</Words>
  <Characters>2702</Characters>
  <Lines>0</Lines>
  <Paragraphs>0</Paragraphs>
  <TotalTime>51</TotalTime>
  <ScaleCrop>false</ScaleCrop>
  <LinksUpToDate>false</LinksUpToDate>
  <CharactersWithSpaces>2705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2024-03-11T23:30:00Z</dcterms:created>
  <dc:creator>Administrator</dc:creator>
  <cp:lastModifiedBy>user</cp:lastModifiedBy>
  <dcterms:modified xsi:type="dcterms:W3CDTF">2026-01-20T17:01:11Z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67CB13FF5ACA4ED98953BA3B259E5170_13</vt:lpwstr>
  </property>
  <property fmtid="{D5CDD505-2E9C-101B-9397-08002B2CF9AE}" pid="4" name="KSOTemplateDocerSaveRecord">
    <vt:lpwstr>eyJoZGlkIjoiNmE2NTc1ZDdlNzRiNTk2OGU4ODllMzNhZGQzZGMxOTgiLCJ1c2VySWQiOiI0MzQwMzA5NzYifQ==</vt:lpwstr>
  </property>
</Properties>
</file>