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565F">
      <w:pPr>
        <w:spacing w:line="600" w:lineRule="exact"/>
        <w:jc w:val="center"/>
        <w:rPr>
          <w:rFonts w:hint="eastAsia" w:ascii="方正小标宋简体" w:eastAsia="方正小标宋简体"/>
          <w:sz w:val="44"/>
          <w:szCs w:val="44"/>
        </w:rPr>
      </w:pPr>
    </w:p>
    <w:p w14:paraId="0E1B630A">
      <w:pPr>
        <w:spacing w:line="600" w:lineRule="exact"/>
        <w:jc w:val="center"/>
        <w:rPr>
          <w:rFonts w:hint="eastAsia" w:ascii="方正小标宋简体" w:eastAsia="方正小标宋简体"/>
          <w:b/>
          <w:bCs/>
          <w:sz w:val="44"/>
          <w:szCs w:val="44"/>
        </w:rPr>
      </w:pPr>
      <w:r>
        <w:rPr>
          <w:rFonts w:hint="eastAsia" w:ascii="方正小标宋简体" w:eastAsia="方正小标宋简体"/>
          <w:b/>
          <w:bCs/>
          <w:spacing w:val="-20"/>
          <w:sz w:val="44"/>
          <w:szCs w:val="44"/>
          <w:lang w:val="en-US" w:eastAsia="zh-CN"/>
        </w:rPr>
        <w:t>济宁北湖省级旅游度假区社会事务综合服务中心</w:t>
      </w:r>
      <w:r>
        <w:rPr>
          <w:rFonts w:hint="eastAsia" w:ascii="方正小标宋简体" w:eastAsia="方正小标宋简体"/>
          <w:b/>
          <w:bCs/>
          <w:sz w:val="44"/>
          <w:szCs w:val="44"/>
          <w:lang w:val="en-US" w:eastAsia="zh-CN"/>
        </w:rPr>
        <w:t>农村事务部2024年</w:t>
      </w:r>
      <w:r>
        <w:rPr>
          <w:rFonts w:hint="eastAsia" w:ascii="方正小标宋简体" w:eastAsia="方正小标宋简体"/>
          <w:b/>
          <w:bCs/>
          <w:sz w:val="44"/>
          <w:szCs w:val="44"/>
        </w:rPr>
        <w:t>政府信息公开</w:t>
      </w:r>
    </w:p>
    <w:p w14:paraId="684638EA">
      <w:pPr>
        <w:spacing w:line="600" w:lineRule="exact"/>
        <w:jc w:val="center"/>
        <w:rPr>
          <w:rFonts w:ascii="方正小标宋简体" w:eastAsia="方正小标宋简体"/>
          <w:b/>
          <w:bCs/>
          <w:sz w:val="44"/>
          <w:szCs w:val="44"/>
        </w:rPr>
      </w:pPr>
      <w:bookmarkStart w:id="0" w:name="_GoBack"/>
      <w:bookmarkEnd w:id="0"/>
      <w:r>
        <w:rPr>
          <w:rFonts w:hint="eastAsia" w:ascii="方正小标宋简体" w:eastAsia="方正小标宋简体"/>
          <w:b/>
          <w:bCs/>
          <w:sz w:val="44"/>
          <w:szCs w:val="44"/>
        </w:rPr>
        <w:t>工作年度报告</w:t>
      </w:r>
    </w:p>
    <w:p w14:paraId="51A6E76E">
      <w:pPr>
        <w:spacing w:line="600" w:lineRule="exact"/>
        <w:ind w:firstLine="640" w:firstLineChars="200"/>
        <w:rPr>
          <w:rFonts w:ascii="仿宋_GB2312" w:eastAsia="仿宋_GB2312"/>
          <w:sz w:val="32"/>
          <w:szCs w:val="32"/>
        </w:rPr>
      </w:pPr>
    </w:p>
    <w:p w14:paraId="3D0ECD9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简体" w:eastAsia="方正仿宋简体" w:cs="Times New Roman"/>
          <w:b/>
          <w:color w:val="000000"/>
          <w:sz w:val="32"/>
          <w:szCs w:val="32"/>
          <w:lang w:val="en-US" w:eastAsia="zh-CN" w:bidi="ar-SA"/>
        </w:rPr>
      </w:pPr>
      <w:r>
        <w:rPr>
          <w:rFonts w:hint="eastAsia" w:ascii="方正仿宋简体" w:eastAsia="方正仿宋简体" w:cs="Times New Roman"/>
          <w:b/>
          <w:color w:val="000000"/>
          <w:sz w:val="32"/>
          <w:szCs w:val="32"/>
          <w:lang w:val="en-US" w:eastAsia="zh-CN" w:bidi="ar-SA"/>
        </w:rPr>
        <w:t>本报告由济宁北湖省级旅游度假区社会事务综合服务中心农业农村事务部按照《中华人民共和国政府信息公开条例》（以下简称《条例》）和《中华人民共和国政府信息公开工作年度报告格式》（国办公开办函〔2021〕30号）要求编制。</w:t>
      </w:r>
    </w:p>
    <w:p w14:paraId="7C573A5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简体" w:eastAsia="方正仿宋简体" w:cs="Times New Roman"/>
          <w:b/>
          <w:color w:val="000000"/>
          <w:sz w:val="32"/>
          <w:szCs w:val="32"/>
          <w:lang w:val="en-US" w:eastAsia="zh-CN" w:bidi="ar-SA"/>
        </w:rPr>
      </w:pPr>
      <w:r>
        <w:rPr>
          <w:rFonts w:hint="eastAsia" w:ascii="方正仿宋简体" w:eastAsia="方正仿宋简体" w:cs="Times New Roman"/>
          <w:b/>
          <w:color w:val="000000"/>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14:paraId="56458B9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简体" w:eastAsia="方正仿宋简体" w:cs="Times New Roman"/>
          <w:b/>
          <w:color w:val="000000"/>
          <w:sz w:val="32"/>
          <w:szCs w:val="32"/>
          <w:lang w:val="en-US" w:eastAsia="zh-CN" w:bidi="ar-SA"/>
        </w:rPr>
      </w:pPr>
      <w:r>
        <w:rPr>
          <w:rFonts w:hint="eastAsia" w:ascii="方正仿宋简体" w:eastAsia="方正仿宋简体" w:cs="Times New Roman"/>
          <w:b/>
          <w:color w:val="000000"/>
          <w:sz w:val="32"/>
          <w:szCs w:val="32"/>
          <w:lang w:val="en-US" w:eastAsia="zh-CN" w:bidi="ar-SA"/>
        </w:rPr>
        <w:t>本报告所列数据的统计期限自2024年1月1日起至2024年12月31日</w:t>
      </w:r>
      <w:r>
        <w:rPr>
          <w:rFonts w:hint="eastAsia" w:ascii="方正仿宋简体" w:eastAsia="方正仿宋简体" w:cs="Times New Roman"/>
          <w:b/>
          <w:color w:val="auto"/>
          <w:sz w:val="32"/>
          <w:szCs w:val="32"/>
          <w:lang w:val="en-US" w:eastAsia="zh-CN" w:bidi="ar-SA"/>
        </w:rPr>
        <w:t>止。本报告电子版可在“济宁太白湖新区管理委员会”门户网站（http://bhdjq.jining.gov.cn）查阅或下载。如对本报告有疑问，请与济宁北湖省级旅游度假区社会事务</w:t>
      </w:r>
      <w:r>
        <w:rPr>
          <w:rFonts w:hint="eastAsia" w:ascii="方正仿宋简体" w:eastAsia="方正仿宋简体" w:cs="Times New Roman"/>
          <w:b/>
          <w:color w:val="000000"/>
          <w:sz w:val="32"/>
          <w:szCs w:val="32"/>
          <w:lang w:val="en-US" w:eastAsia="zh-CN" w:bidi="ar-SA"/>
        </w:rPr>
        <w:t>综合服务中心农业农村事务部联系（地址：太白湖新区新城发展大厦A座1220，联系电话：</w:t>
      </w:r>
      <w:r>
        <w:rPr>
          <w:rFonts w:hint="default" w:ascii="Times New Roman" w:hAnsi="Times New Roman" w:eastAsia="方正仿宋简体" w:cs="Times New Roman"/>
          <w:b/>
          <w:color w:val="000000"/>
          <w:sz w:val="32"/>
          <w:szCs w:val="32"/>
          <w:lang w:val="en-US" w:eastAsia="zh-CN" w:bidi="ar-SA"/>
        </w:rPr>
        <w:t>0537-3237258）</w:t>
      </w:r>
      <w:r>
        <w:rPr>
          <w:rFonts w:hint="eastAsia" w:ascii="方正仿宋简体" w:eastAsia="方正仿宋简体" w:cs="Times New Roman"/>
          <w:b/>
          <w:color w:val="000000"/>
          <w:sz w:val="32"/>
          <w:szCs w:val="32"/>
          <w:lang w:val="en-US" w:eastAsia="zh-CN" w:bidi="ar-SA"/>
        </w:rPr>
        <w:t>。</w:t>
      </w:r>
    </w:p>
    <w:p w14:paraId="5FE60D76">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方正黑体简体" w:eastAsia="方正黑体简体"/>
          <w:b/>
          <w:sz w:val="32"/>
          <w:szCs w:val="32"/>
          <w:lang w:val="en-US" w:eastAsia="zh-CN"/>
        </w:rPr>
      </w:pPr>
      <w:r>
        <w:rPr>
          <w:rFonts w:hint="eastAsia" w:ascii="方正黑体简体" w:eastAsia="方正黑体简体"/>
          <w:b/>
          <w:sz w:val="32"/>
          <w:szCs w:val="32"/>
          <w:lang w:val="en-US" w:eastAsia="zh-CN"/>
        </w:rPr>
        <w:t>一、总体情况</w:t>
      </w:r>
    </w:p>
    <w:p w14:paraId="0861765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今年以来，我单位在区党工委、管委会和市农业农村局的坚强领导下，深入落实习近平总书记对山东工作的重要指示要求，认真落实党中央、国务院关于全面推进政务公开工作的决策部署，准确把握新时代政务公开新形势、新要求，坚持人民至上，更好发挥以公开促规范、促落实、促服务作用，完善各项公开制度和工作机制，不断扩大公开范围，细化公开内容，及时准确公开信息，做到依法、全面、准确、及时公开。</w:t>
      </w:r>
    </w:p>
    <w:p w14:paraId="3A23B93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（一）主动公开情况</w:t>
      </w:r>
    </w:p>
    <w:p w14:paraId="11EC436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我单位在太白湖新区管委会网站主动公开信息共</w:t>
      </w:r>
      <w:r>
        <w:rPr>
          <w:rFonts w:hint="eastAsia" w:ascii="方正仿宋简体" w:eastAsia="方正仿宋简体" w:cs="Times New Roman"/>
          <w:b/>
          <w:color w:val="000000"/>
          <w:sz w:val="32"/>
          <w:szCs w:val="32"/>
          <w:lang w:val="en-US" w:eastAsia="zh-CN" w:bidi="ar-SA"/>
        </w:rPr>
        <w:t>61</w:t>
      </w:r>
      <w:r>
        <w:rPr>
          <w:rFonts w:hint="eastAsia" w:ascii="方正仿宋简体" w:hAnsi="Times New Roman" w:eastAsia="方正仿宋简体" w:cs="Times New Roman"/>
          <w:b/>
          <w:color w:val="000000"/>
          <w:sz w:val="32"/>
          <w:szCs w:val="32"/>
          <w:lang w:val="en-US" w:eastAsia="zh-CN" w:bidi="ar-SA"/>
        </w:rPr>
        <w:t>条，</w:t>
      </w:r>
      <w:r>
        <w:rPr>
          <w:rFonts w:hint="eastAsia" w:ascii="方正仿宋简体" w:eastAsia="方正仿宋简体" w:cs="Times New Roman"/>
          <w:b/>
          <w:color w:val="000000"/>
          <w:sz w:val="32"/>
          <w:szCs w:val="32"/>
          <w:lang w:val="en-US" w:eastAsia="zh-CN" w:bidi="ar-SA"/>
        </w:rPr>
        <w:t>其中财政预决算4条，巩固脱贫攻坚成果20条，“双随机、一公开”监管和弄农产品质量监管12条，涉农补贴25条；在太白湖新区微信公众号发布公开信息13条。</w:t>
      </w:r>
    </w:p>
    <w:p w14:paraId="4DE5631E">
      <w:pPr>
        <w:pStyle w:val="6"/>
        <w:jc w:val="both"/>
        <w:rPr>
          <w:rFonts w:hint="default"/>
          <w:lang w:val="en-US" w:eastAsia="zh-CN"/>
        </w:rPr>
      </w:pPr>
    </w:p>
    <w:p w14:paraId="52717423">
      <w:pPr>
        <w:pStyle w:val="6"/>
        <w:jc w:val="center"/>
        <w:rPr>
          <w:rFonts w:hint="default"/>
          <w:lang w:val="en-US"/>
        </w:rPr>
      </w:pPr>
      <w:r>
        <w:rPr>
          <w:rFonts w:hint="default"/>
          <w:lang w:val="en-US" w:eastAsia="zh-CN"/>
        </w:rPr>
        <w:drawing>
          <wp:inline distT="0" distB="0" distL="114300" distR="114300">
            <wp:extent cx="4874895" cy="3362325"/>
            <wp:effectExtent l="4445" t="4445" r="16510" b="62230"/>
            <wp:docPr id="8" name="图表 8" descr="7b0a202020202263686172745265734964223a202232303437303930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F936C7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（二）依申请公开情况</w:t>
      </w:r>
    </w:p>
    <w:p w14:paraId="34628B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方正仿宋简体" w:hAnsi="Times New Roman" w:eastAsia="方正仿宋简体" w:cs="Times New Roman"/>
          <w:b/>
          <w:color w:val="000000"/>
          <w:sz w:val="32"/>
          <w:szCs w:val="32"/>
          <w:lang w:val="en-US" w:eastAsia="zh-CN" w:bidi="ar-SA"/>
        </w:rPr>
        <w:t>2024年，我单位未收到政府信息公开申请。</w:t>
      </w:r>
    </w:p>
    <w:p w14:paraId="68F6898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（三）政府信息管理情况</w:t>
      </w:r>
    </w:p>
    <w:p w14:paraId="5BEB8B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一是落实好政府信息公开责任。我单位严格按照国家、省、市关于政府信息公开的政策及条例要求，完善本单位政务公开工作机制，不折不扣落实好政务公开责任。二是主动收集，规范审查。我单位严格执行信息发布审查制度，明确一切需公开的政府信息，均填写《政府信息公开审查表》进行发布前审查，由科室负责人、分管领导和主要领导逐一审核把关，加强信息发布的主动性、针对性、时效性、权威性、安全性，及时、全面、准确地主动公开各类政府信息。三是强化监督保障。我单位明确政府信息公开责任追究办法，按照“谁提供，谁审核，谁负责”的原则，确保不公开涉密、敏感和错误信息；健全网络安全管理机制，加强常态化监管，确保门户网站平稳运行，确保不发生网络和数据安全事故。</w:t>
      </w:r>
    </w:p>
    <w:p w14:paraId="65B4425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  </w:t>
      </w:r>
      <w:r>
        <w:rPr>
          <w:rFonts w:hint="eastAsia" w:ascii="方正楷体简体" w:hAnsi="方正楷体简体" w:eastAsia="方正楷体简体" w:cs="方正楷体简体"/>
          <w:b/>
          <w:bCs/>
          <w:sz w:val="32"/>
          <w:szCs w:val="32"/>
          <w:lang w:val="en-US" w:eastAsia="zh-CN"/>
        </w:rPr>
        <w:t xml:space="preserve">  （四）政府信息公开平台建设情况</w:t>
      </w:r>
    </w:p>
    <w:p w14:paraId="412438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我单位以政府网站为主要发布阵地，按照要求及时更新政府信息主动公开目录、政府信息公开指南，完善市农业农村局法定信息公开专栏。积极发挥平台宣传作用，向社会发布巩固脱贫攻坚成果、涉农补贴、农产品质量监管等情况，解读惠农惠企政策，强化惠农惠企政策落实。</w:t>
      </w:r>
    </w:p>
    <w:p w14:paraId="557664A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五</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监督保障</w:t>
      </w:r>
      <w:r>
        <w:rPr>
          <w:rFonts w:hint="eastAsia" w:ascii="方正楷体简体" w:hAnsi="方正楷体简体" w:eastAsia="方正楷体简体" w:cs="方正楷体简体"/>
          <w:b/>
          <w:bCs/>
          <w:sz w:val="32"/>
          <w:szCs w:val="32"/>
          <w:lang w:val="en-US" w:eastAsia="zh-CN"/>
        </w:rPr>
        <w:t>情况</w:t>
      </w:r>
    </w:p>
    <w:p w14:paraId="107F9D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方正黑体简体" w:eastAsia="方正黑体简体"/>
          <w:b/>
          <w:sz w:val="32"/>
          <w:szCs w:val="32"/>
          <w:lang w:val="en-US" w:eastAsia="zh-CN"/>
        </w:rPr>
      </w:pPr>
      <w:r>
        <w:rPr>
          <w:rFonts w:hint="eastAsia" w:ascii="方正仿宋简体" w:hAnsi="Times New Roman" w:eastAsia="方正仿宋简体" w:cs="Times New Roman"/>
          <w:b/>
          <w:color w:val="000000"/>
          <w:sz w:val="32"/>
          <w:szCs w:val="32"/>
          <w:lang w:val="en-US" w:eastAsia="zh-CN" w:bidi="ar-SA"/>
        </w:rPr>
        <w:t>我单位高度重视政务公开和政府信息公开工作，着力补短板、强弱项、建机制，全方位提升农业信息公开水平。严格落实政务公开标准化、规范化要求，依法及时公开各种政府信息，完善信息公开程序，严格执行信息发布审批制度，对公开内容层层把关审核，做到公开内容准确无误。2024年度，政务公开工作未发生责任追究情况。</w:t>
      </w:r>
    </w:p>
    <w:p w14:paraId="28E4949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3" w:firstLineChars="200"/>
        <w:textAlignment w:val="auto"/>
        <w:rPr>
          <w:rFonts w:hint="eastAsia" w:ascii="方正黑体简体" w:eastAsia="方正黑体简体"/>
          <w:b/>
          <w:sz w:val="32"/>
          <w:szCs w:val="32"/>
        </w:rPr>
      </w:pPr>
      <w:r>
        <w:rPr>
          <w:rFonts w:hint="eastAsia" w:ascii="方正黑体简体" w:eastAsia="方正黑体简体"/>
          <w:b/>
          <w:sz w:val="32"/>
          <w:szCs w:val="32"/>
        </w:rPr>
        <w:t>主动公开政府信息情况</w:t>
      </w:r>
    </w:p>
    <w:tbl>
      <w:tblPr>
        <w:tblStyle w:val="8"/>
        <w:tblW w:w="5000" w:type="pct"/>
        <w:tblInd w:w="0" w:type="dxa"/>
        <w:tblLayout w:type="autofit"/>
        <w:tblCellMar>
          <w:top w:w="0" w:type="dxa"/>
          <w:left w:w="108" w:type="dxa"/>
          <w:bottom w:w="0" w:type="dxa"/>
          <w:right w:w="108" w:type="dxa"/>
        </w:tblCellMar>
      </w:tblPr>
      <w:tblGrid>
        <w:gridCol w:w="2265"/>
        <w:gridCol w:w="2265"/>
        <w:gridCol w:w="2265"/>
        <w:gridCol w:w="2265"/>
      </w:tblGrid>
      <w:tr w14:paraId="6B335BD2">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34C6CB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3E770EF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03F3487">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信息内容</w:t>
            </w:r>
          </w:p>
        </w:tc>
        <w:tc>
          <w:tcPr>
            <w:tcW w:w="1250" w:type="pct"/>
            <w:tcBorders>
              <w:top w:val="nil"/>
              <w:left w:val="nil"/>
              <w:bottom w:val="single" w:color="auto" w:sz="8" w:space="0"/>
              <w:right w:val="single" w:color="auto" w:sz="8" w:space="0"/>
            </w:tcBorders>
            <w:shd w:val="clear" w:color="auto" w:fill="auto"/>
            <w:vAlign w:val="center"/>
          </w:tcPr>
          <w:p w14:paraId="628ED5E3">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本年制发件数</w:t>
            </w:r>
          </w:p>
        </w:tc>
        <w:tc>
          <w:tcPr>
            <w:tcW w:w="1250" w:type="pct"/>
            <w:tcBorders>
              <w:top w:val="nil"/>
              <w:left w:val="nil"/>
              <w:bottom w:val="single" w:color="auto" w:sz="8" w:space="0"/>
              <w:right w:val="single" w:color="auto" w:sz="8" w:space="0"/>
            </w:tcBorders>
            <w:shd w:val="clear" w:color="auto" w:fill="auto"/>
            <w:vAlign w:val="center"/>
          </w:tcPr>
          <w:p w14:paraId="2AA1494B">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本年废止件数</w:t>
            </w:r>
          </w:p>
        </w:tc>
        <w:tc>
          <w:tcPr>
            <w:tcW w:w="1250" w:type="pct"/>
            <w:tcBorders>
              <w:top w:val="nil"/>
              <w:left w:val="nil"/>
              <w:bottom w:val="single" w:color="auto" w:sz="8" w:space="0"/>
              <w:right w:val="single" w:color="auto" w:sz="8" w:space="0"/>
            </w:tcBorders>
            <w:shd w:val="clear" w:color="auto" w:fill="auto"/>
            <w:vAlign w:val="center"/>
          </w:tcPr>
          <w:p w14:paraId="674B428D">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现行有效件数</w:t>
            </w:r>
          </w:p>
        </w:tc>
      </w:tr>
      <w:tr w14:paraId="3FF42079">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46018E8">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规章</w:t>
            </w:r>
          </w:p>
        </w:tc>
        <w:tc>
          <w:tcPr>
            <w:tcW w:w="1250" w:type="pct"/>
            <w:tcBorders>
              <w:top w:val="nil"/>
              <w:left w:val="nil"/>
              <w:bottom w:val="single" w:color="auto" w:sz="8" w:space="0"/>
              <w:right w:val="single" w:color="auto" w:sz="8" w:space="0"/>
            </w:tcBorders>
            <w:shd w:val="clear" w:color="auto" w:fill="auto"/>
            <w:vAlign w:val="center"/>
          </w:tcPr>
          <w:p w14:paraId="6402B1AB">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314A2563">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7AD986E9">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6AEB06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8448869">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行政规范性文件</w:t>
            </w:r>
          </w:p>
        </w:tc>
        <w:tc>
          <w:tcPr>
            <w:tcW w:w="1250" w:type="pct"/>
            <w:tcBorders>
              <w:top w:val="nil"/>
              <w:left w:val="nil"/>
              <w:bottom w:val="single" w:color="auto" w:sz="8" w:space="0"/>
              <w:right w:val="single" w:color="auto" w:sz="8" w:space="0"/>
            </w:tcBorders>
            <w:shd w:val="clear" w:color="auto" w:fill="auto"/>
            <w:vAlign w:val="center"/>
          </w:tcPr>
          <w:p w14:paraId="1C5A06C9">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67500695">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690D1239">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AD2E05C">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0945D8F">
            <w:pPr>
              <w:widowControl/>
              <w:jc w:val="center"/>
              <w:rPr>
                <w:rFonts w:ascii="黑体" w:hAnsi="黑体" w:eastAsia="黑体" w:cs="宋体"/>
                <w:color w:val="000000"/>
                <w:kern w:val="0"/>
                <w:szCs w:val="21"/>
              </w:rPr>
            </w:pPr>
            <w:r>
              <w:rPr>
                <w:rFonts w:hint="eastAsia" w:ascii="宋体" w:hAnsi="宋体" w:eastAsia="宋体" w:cs="宋体"/>
                <w:b/>
                <w:bCs/>
                <w:color w:val="000000"/>
                <w:kern w:val="0"/>
                <w:sz w:val="20"/>
                <w:szCs w:val="20"/>
              </w:rPr>
              <w:t>第二十条第（五）项</w:t>
            </w:r>
          </w:p>
        </w:tc>
      </w:tr>
      <w:tr w14:paraId="789EC9D9">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F55D318">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1F17BEEE">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本年处理决定数量</w:t>
            </w:r>
          </w:p>
        </w:tc>
      </w:tr>
      <w:tr w14:paraId="4DFB3DA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9F18D73">
            <w:pPr>
              <w:widowControl/>
              <w:jc w:val="left"/>
              <w:rPr>
                <w:rFonts w:ascii="仿宋_GB2312" w:hAnsi="宋体" w:eastAsia="仿宋_GB2312" w:cs="宋体"/>
                <w:color w:val="000000"/>
                <w:kern w:val="0"/>
                <w:szCs w:val="21"/>
              </w:rPr>
            </w:pPr>
            <w:r>
              <w:rPr>
                <w:rFonts w:hint="eastAsia" w:ascii="宋体" w:hAnsi="宋体" w:eastAsia="宋体" w:cs="宋体"/>
                <w:b/>
                <w:bCs/>
                <w:color w:val="000000"/>
                <w:kern w:val="0"/>
                <w:sz w:val="20"/>
                <w:szCs w:val="20"/>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55CCED3C">
            <w:pPr>
              <w:widowControl/>
              <w:jc w:val="center"/>
              <w:rPr>
                <w:rFonts w:hint="eastAsia" w:ascii="仿宋_GB2312" w:hAnsi="Calibri" w:eastAsia="仿宋_GB2312" w:cs="Calibri"/>
                <w:color w:val="000000"/>
                <w:kern w:val="0"/>
                <w:szCs w:val="21"/>
                <w:lang w:val="en-US" w:eastAsia="zh-CN"/>
              </w:rPr>
            </w:pPr>
            <w:r>
              <w:rPr>
                <w:rFonts w:hint="eastAsia" w:ascii="宋体" w:hAnsi="宋体" w:eastAsia="宋体" w:cs="宋体"/>
                <w:b/>
                <w:bCs/>
                <w:color w:val="000000"/>
                <w:kern w:val="0"/>
                <w:sz w:val="20"/>
                <w:szCs w:val="20"/>
                <w:lang w:val="en-US" w:eastAsia="zh-CN"/>
              </w:rPr>
              <w:t>0</w:t>
            </w:r>
          </w:p>
        </w:tc>
      </w:tr>
      <w:tr w14:paraId="57461CA5">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5E6C3F">
            <w:pPr>
              <w:widowControl/>
              <w:jc w:val="center"/>
              <w:rPr>
                <w:rFonts w:ascii="黑体" w:hAnsi="黑体" w:eastAsia="黑体" w:cs="宋体"/>
                <w:color w:val="000000"/>
                <w:kern w:val="0"/>
                <w:szCs w:val="21"/>
              </w:rPr>
            </w:pPr>
            <w:r>
              <w:rPr>
                <w:rFonts w:hint="eastAsia" w:ascii="宋体" w:hAnsi="宋体" w:eastAsia="宋体" w:cs="宋体"/>
                <w:b/>
                <w:bCs/>
                <w:color w:val="000000"/>
                <w:kern w:val="0"/>
                <w:sz w:val="20"/>
                <w:szCs w:val="20"/>
              </w:rPr>
              <w:t>第二十条第（六）项</w:t>
            </w:r>
          </w:p>
        </w:tc>
      </w:tr>
      <w:tr w14:paraId="60ADF771">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40D2DD8F">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71B2E340">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本年处理决定数量</w:t>
            </w:r>
          </w:p>
        </w:tc>
      </w:tr>
      <w:tr w14:paraId="39671822">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BC2ABA5">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19581E1D">
            <w:pPr>
              <w:widowControl/>
              <w:jc w:val="center"/>
              <w:rPr>
                <w:rFonts w:hint="eastAsia" w:ascii="仿宋_GB2312" w:hAnsi="宋体" w:eastAsia="仿宋_GB2312" w:cs="宋体"/>
                <w:color w:val="000000"/>
                <w:kern w:val="0"/>
                <w:szCs w:val="21"/>
                <w:lang w:val="en-US" w:eastAsia="zh-CN"/>
              </w:rPr>
            </w:pPr>
            <w:r>
              <w:rPr>
                <w:rFonts w:hint="eastAsia" w:ascii="宋体" w:hAnsi="宋体" w:eastAsia="宋体" w:cs="宋体"/>
                <w:b/>
                <w:bCs/>
                <w:color w:val="000000"/>
                <w:kern w:val="0"/>
                <w:sz w:val="20"/>
                <w:szCs w:val="20"/>
                <w:lang w:val="en-US" w:eastAsia="zh-CN"/>
              </w:rPr>
              <w:t>0</w:t>
            </w:r>
          </w:p>
        </w:tc>
      </w:tr>
      <w:tr w14:paraId="0247AF6E">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DE03AB8">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2CE40EC">
            <w:pPr>
              <w:widowControl/>
              <w:jc w:val="center"/>
              <w:rPr>
                <w:rFonts w:hint="eastAsia" w:ascii="仿宋_GB2312" w:hAnsi="宋体" w:eastAsia="仿宋_GB2312" w:cs="宋体"/>
                <w:color w:val="000000"/>
                <w:kern w:val="0"/>
                <w:szCs w:val="21"/>
                <w:lang w:val="en-US" w:eastAsia="zh-CN"/>
              </w:rPr>
            </w:pPr>
            <w:r>
              <w:rPr>
                <w:rFonts w:hint="eastAsia" w:ascii="宋体" w:hAnsi="宋体" w:eastAsia="宋体" w:cs="宋体"/>
                <w:b/>
                <w:bCs/>
                <w:color w:val="000000"/>
                <w:kern w:val="0"/>
                <w:sz w:val="20"/>
                <w:szCs w:val="20"/>
                <w:lang w:val="en-US" w:eastAsia="zh-CN"/>
              </w:rPr>
              <w:t>0</w:t>
            </w:r>
          </w:p>
        </w:tc>
      </w:tr>
      <w:tr w14:paraId="71C1737D">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C342340">
            <w:pPr>
              <w:widowControl/>
              <w:jc w:val="center"/>
              <w:rPr>
                <w:rFonts w:ascii="黑体" w:hAnsi="黑体" w:eastAsia="黑体" w:cs="宋体"/>
                <w:color w:val="000000"/>
                <w:kern w:val="0"/>
                <w:szCs w:val="21"/>
              </w:rPr>
            </w:pPr>
            <w:r>
              <w:rPr>
                <w:rFonts w:hint="eastAsia" w:ascii="宋体" w:hAnsi="宋体" w:eastAsia="宋体" w:cs="宋体"/>
                <w:b/>
                <w:bCs/>
                <w:color w:val="000000"/>
                <w:kern w:val="0"/>
                <w:sz w:val="20"/>
                <w:szCs w:val="20"/>
              </w:rPr>
              <w:t>第二十条第（八）项</w:t>
            </w:r>
          </w:p>
        </w:tc>
      </w:tr>
      <w:tr w14:paraId="5CFE9092">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76C7811C">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4BBF5E1">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本年收费金额（单位：万元）</w:t>
            </w:r>
          </w:p>
        </w:tc>
      </w:tr>
      <w:tr w14:paraId="10A336A8">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5C8DD81">
            <w:pPr>
              <w:widowControl/>
              <w:jc w:val="left"/>
              <w:rPr>
                <w:rFonts w:ascii="仿宋_GB2312" w:hAnsi="宋体" w:eastAsia="仿宋_GB2312" w:cs="宋体"/>
                <w:color w:val="000000"/>
                <w:kern w:val="0"/>
                <w:szCs w:val="21"/>
              </w:rPr>
            </w:pPr>
            <w:r>
              <w:rPr>
                <w:rFonts w:hint="eastAsia" w:ascii="宋体" w:hAnsi="宋体" w:eastAsia="宋体" w:cs="宋体"/>
                <w:b/>
                <w:bCs/>
                <w:color w:val="000000"/>
                <w:kern w:val="0"/>
                <w:sz w:val="20"/>
                <w:szCs w:val="20"/>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0092DD7">
            <w:pPr>
              <w:widowControl/>
              <w:jc w:val="center"/>
              <w:rPr>
                <w:rFonts w:hint="eastAsia" w:ascii="仿宋_GB2312" w:hAnsi="Calibri" w:eastAsia="仿宋_GB2312" w:cs="Calibri"/>
                <w:color w:val="000000"/>
                <w:kern w:val="0"/>
                <w:szCs w:val="21"/>
                <w:lang w:val="en-US" w:eastAsia="zh-CN"/>
              </w:rPr>
            </w:pPr>
            <w:r>
              <w:rPr>
                <w:rFonts w:hint="eastAsia" w:ascii="宋体" w:hAnsi="宋体" w:eastAsia="宋体" w:cs="宋体"/>
                <w:b/>
                <w:bCs/>
                <w:color w:val="000000"/>
                <w:kern w:val="0"/>
                <w:sz w:val="20"/>
                <w:szCs w:val="20"/>
                <w:lang w:val="en-US" w:eastAsia="zh-CN"/>
              </w:rPr>
              <w:t>0</w:t>
            </w:r>
          </w:p>
        </w:tc>
      </w:tr>
    </w:tbl>
    <w:p w14:paraId="25FD4DB7">
      <w:pPr>
        <w:pStyle w:val="6"/>
        <w:numPr>
          <w:ilvl w:val="0"/>
          <w:numId w:val="0"/>
        </w:numPr>
        <w:rPr>
          <w:rFonts w:hint="eastAsia"/>
        </w:rPr>
      </w:pPr>
    </w:p>
    <w:p w14:paraId="3D381B0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eastAsia" w:ascii="方正黑体简体" w:eastAsia="方正黑体简体"/>
          <w:b/>
          <w:sz w:val="32"/>
          <w:szCs w:val="32"/>
        </w:rPr>
      </w:pPr>
      <w:r>
        <w:rPr>
          <w:rFonts w:hint="eastAsia" w:ascii="方正黑体简体" w:eastAsia="方正黑体简体"/>
          <w:b/>
          <w:sz w:val="32"/>
          <w:szCs w:val="32"/>
        </w:rPr>
        <w:t>收到和处理政府信息公开申请情况</w:t>
      </w:r>
    </w:p>
    <w:tbl>
      <w:tblPr>
        <w:tblStyle w:val="8"/>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59DBE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4C28C1C">
            <w:pPr>
              <w:widowControl/>
              <w:jc w:val="left"/>
              <w:rPr>
                <w:rFonts w:ascii="楷体_GB2312" w:hAnsi="黑体" w:eastAsia="楷体_GB2312"/>
                <w:b/>
                <w:bCs/>
                <w:kern w:val="0"/>
                <w:sz w:val="20"/>
                <w:szCs w:val="20"/>
              </w:rPr>
            </w:pPr>
            <w:r>
              <w:rPr>
                <w:rFonts w:hint="eastAsia" w:ascii="楷体_GB2312" w:hAnsi="黑体" w:eastAsia="楷体_GB2312"/>
                <w:b/>
                <w:bCs/>
                <w:kern w:val="0"/>
                <w:sz w:val="20"/>
                <w:szCs w:val="20"/>
              </w:rPr>
              <w:t>（本列数据的勾稽关系为：第一项加第二项之和，</w:t>
            </w:r>
          </w:p>
          <w:p w14:paraId="2E3B5A12">
            <w:pPr>
              <w:widowControl/>
              <w:jc w:val="left"/>
              <w:rPr>
                <w:rFonts w:ascii="仿宋_GB2312" w:hAnsi="Times New Roman" w:eastAsia="仿宋_GB2312"/>
                <w:szCs w:val="21"/>
              </w:rPr>
            </w:pPr>
            <w:r>
              <w:rPr>
                <w:rFonts w:hint="eastAsia" w:ascii="楷体_GB2312" w:hAnsi="黑体" w:eastAsia="楷体_GB2312"/>
                <w:b/>
                <w:bCs/>
                <w:kern w:val="0"/>
                <w:sz w:val="20"/>
                <w:szCs w:val="20"/>
              </w:rPr>
              <w:t>等于第三项加第四项之和）</w:t>
            </w:r>
          </w:p>
        </w:tc>
        <w:tc>
          <w:tcPr>
            <w:tcW w:w="4820" w:type="dxa"/>
            <w:gridSpan w:val="7"/>
            <w:shd w:val="clear" w:color="auto" w:fill="auto"/>
            <w:tcMar>
              <w:left w:w="108" w:type="dxa"/>
              <w:right w:w="108" w:type="dxa"/>
            </w:tcMar>
            <w:vAlign w:val="center"/>
          </w:tcPr>
          <w:p w14:paraId="65029937">
            <w:pPr>
              <w:widowControl/>
              <w:spacing w:line="320" w:lineRule="exact"/>
              <w:jc w:val="center"/>
              <w:rPr>
                <w:rFonts w:hint="eastAsia" w:ascii="宋体" w:hAnsi="宋体" w:eastAsia="宋体" w:cs="宋体"/>
                <w:b/>
                <w:bCs/>
                <w:sz w:val="20"/>
                <w:szCs w:val="20"/>
              </w:rPr>
            </w:pPr>
            <w:r>
              <w:rPr>
                <w:rFonts w:hint="eastAsia" w:ascii="宋体" w:hAnsi="宋体" w:eastAsia="宋体" w:cs="宋体"/>
                <w:b/>
                <w:bCs/>
                <w:kern w:val="0"/>
                <w:sz w:val="20"/>
                <w:szCs w:val="20"/>
              </w:rPr>
              <w:t>申请人情况</w:t>
            </w:r>
          </w:p>
        </w:tc>
      </w:tr>
      <w:tr w14:paraId="66A35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06005BB4">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0D19DBF2">
            <w:pPr>
              <w:widowControl/>
              <w:jc w:val="center"/>
              <w:rPr>
                <w:rFonts w:hint="eastAsia" w:ascii="宋体" w:hAnsi="宋体" w:eastAsia="宋体" w:cs="宋体"/>
                <w:b/>
                <w:bCs/>
                <w:sz w:val="20"/>
                <w:szCs w:val="20"/>
              </w:rPr>
            </w:pPr>
            <w:r>
              <w:rPr>
                <w:rFonts w:hint="eastAsia" w:ascii="宋体" w:hAnsi="宋体" w:eastAsia="宋体" w:cs="宋体"/>
                <w:b/>
                <w:bCs/>
                <w:kern w:val="0"/>
                <w:sz w:val="20"/>
                <w:szCs w:val="20"/>
              </w:rPr>
              <w:t>自然人</w:t>
            </w:r>
          </w:p>
        </w:tc>
        <w:tc>
          <w:tcPr>
            <w:tcW w:w="3140" w:type="dxa"/>
            <w:gridSpan w:val="5"/>
            <w:shd w:val="clear" w:color="auto" w:fill="auto"/>
            <w:tcMar>
              <w:left w:w="108" w:type="dxa"/>
              <w:right w:w="108" w:type="dxa"/>
            </w:tcMar>
            <w:vAlign w:val="center"/>
          </w:tcPr>
          <w:p w14:paraId="1F1E8963">
            <w:pPr>
              <w:widowControl/>
              <w:spacing w:line="320" w:lineRule="exact"/>
              <w:jc w:val="center"/>
              <w:rPr>
                <w:rFonts w:hint="eastAsia" w:ascii="宋体" w:hAnsi="宋体" w:eastAsia="宋体" w:cs="宋体"/>
                <w:b/>
                <w:bCs/>
                <w:sz w:val="20"/>
                <w:szCs w:val="20"/>
              </w:rPr>
            </w:pPr>
            <w:r>
              <w:rPr>
                <w:rFonts w:hint="eastAsia" w:ascii="宋体" w:hAnsi="宋体" w:eastAsia="宋体" w:cs="宋体"/>
                <w:b/>
                <w:bCs/>
                <w:kern w:val="0"/>
                <w:sz w:val="20"/>
                <w:szCs w:val="20"/>
              </w:rPr>
              <w:t>法人或其他组织</w:t>
            </w:r>
          </w:p>
        </w:tc>
        <w:tc>
          <w:tcPr>
            <w:tcW w:w="851" w:type="dxa"/>
            <w:vMerge w:val="restart"/>
            <w:shd w:val="clear" w:color="auto" w:fill="auto"/>
            <w:tcMar>
              <w:left w:w="108" w:type="dxa"/>
              <w:right w:w="108" w:type="dxa"/>
            </w:tcMar>
            <w:vAlign w:val="center"/>
          </w:tcPr>
          <w:p w14:paraId="207DE942">
            <w:pPr>
              <w:widowControl/>
              <w:jc w:val="center"/>
              <w:rPr>
                <w:rFonts w:hint="eastAsia" w:ascii="宋体" w:hAnsi="宋体" w:eastAsia="宋体" w:cs="宋体"/>
                <w:b/>
                <w:bCs/>
                <w:sz w:val="20"/>
                <w:szCs w:val="20"/>
              </w:rPr>
            </w:pPr>
            <w:r>
              <w:rPr>
                <w:rFonts w:hint="eastAsia" w:ascii="宋体" w:hAnsi="宋体" w:eastAsia="宋体" w:cs="宋体"/>
                <w:b/>
                <w:bCs/>
                <w:kern w:val="0"/>
                <w:sz w:val="20"/>
                <w:szCs w:val="20"/>
              </w:rPr>
              <w:t>总计</w:t>
            </w:r>
          </w:p>
        </w:tc>
      </w:tr>
      <w:tr w14:paraId="2B341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3B601E6E">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2DD44EBC">
            <w:pPr>
              <w:jc w:val="center"/>
              <w:rPr>
                <w:rFonts w:hint="eastAsia" w:ascii="宋体" w:hAnsi="宋体" w:eastAsia="宋体" w:cs="宋体"/>
                <w:b/>
                <w:bCs/>
                <w:sz w:val="20"/>
                <w:szCs w:val="20"/>
              </w:rPr>
            </w:pPr>
          </w:p>
        </w:tc>
        <w:tc>
          <w:tcPr>
            <w:tcW w:w="567" w:type="dxa"/>
            <w:shd w:val="clear" w:color="auto" w:fill="auto"/>
            <w:tcMar>
              <w:left w:w="108" w:type="dxa"/>
              <w:right w:w="108" w:type="dxa"/>
            </w:tcMar>
            <w:vAlign w:val="center"/>
          </w:tcPr>
          <w:p w14:paraId="445FEF6A">
            <w:pPr>
              <w:widowControl/>
              <w:spacing w:line="320" w:lineRule="exact"/>
              <w:ind w:left="-106" w:leftChars="-51" w:right="-107" w:rightChars="-51" w:hanging="1"/>
              <w:jc w:val="center"/>
              <w:rPr>
                <w:rFonts w:hint="eastAsia" w:ascii="宋体" w:hAnsi="宋体" w:eastAsia="宋体" w:cs="宋体"/>
                <w:b/>
                <w:bCs/>
                <w:sz w:val="20"/>
                <w:szCs w:val="20"/>
              </w:rPr>
            </w:pPr>
            <w:r>
              <w:rPr>
                <w:rFonts w:hint="eastAsia" w:ascii="宋体" w:hAnsi="宋体" w:eastAsia="宋体" w:cs="宋体"/>
                <w:b/>
                <w:bCs/>
                <w:kern w:val="0"/>
                <w:sz w:val="20"/>
                <w:szCs w:val="20"/>
              </w:rPr>
              <w:t>商业企业</w:t>
            </w:r>
          </w:p>
        </w:tc>
        <w:tc>
          <w:tcPr>
            <w:tcW w:w="567" w:type="dxa"/>
            <w:shd w:val="clear" w:color="auto" w:fill="auto"/>
            <w:tcMar>
              <w:left w:w="108" w:type="dxa"/>
              <w:right w:w="108" w:type="dxa"/>
            </w:tcMar>
            <w:vAlign w:val="center"/>
          </w:tcPr>
          <w:p w14:paraId="4E555A37">
            <w:pPr>
              <w:widowControl/>
              <w:spacing w:line="320" w:lineRule="exact"/>
              <w:ind w:left="-107" w:leftChars="-51" w:right="-107" w:rightChars="-51"/>
              <w:jc w:val="center"/>
              <w:rPr>
                <w:rFonts w:hint="eastAsia" w:ascii="宋体" w:hAnsi="宋体" w:eastAsia="宋体" w:cs="宋体"/>
                <w:b/>
                <w:bCs/>
                <w:sz w:val="20"/>
                <w:szCs w:val="20"/>
              </w:rPr>
            </w:pPr>
            <w:r>
              <w:rPr>
                <w:rFonts w:hint="eastAsia" w:ascii="宋体" w:hAnsi="宋体" w:eastAsia="宋体" w:cs="宋体"/>
                <w:b/>
                <w:bCs/>
                <w:kern w:val="0"/>
                <w:sz w:val="20"/>
                <w:szCs w:val="20"/>
              </w:rPr>
              <w:t>科研机构</w:t>
            </w:r>
          </w:p>
        </w:tc>
        <w:tc>
          <w:tcPr>
            <w:tcW w:w="731" w:type="dxa"/>
            <w:shd w:val="clear" w:color="auto" w:fill="auto"/>
            <w:tcMar>
              <w:left w:w="108" w:type="dxa"/>
              <w:right w:w="108" w:type="dxa"/>
            </w:tcMar>
            <w:vAlign w:val="center"/>
          </w:tcPr>
          <w:p w14:paraId="4E97BCD7">
            <w:pPr>
              <w:widowControl/>
              <w:spacing w:line="320" w:lineRule="exact"/>
              <w:ind w:left="-107" w:leftChars="-51" w:right="-107" w:rightChars="-51"/>
              <w:jc w:val="center"/>
              <w:rPr>
                <w:rFonts w:hint="eastAsia" w:ascii="宋体" w:hAnsi="宋体" w:eastAsia="宋体" w:cs="宋体"/>
                <w:b/>
                <w:bCs/>
                <w:sz w:val="20"/>
                <w:szCs w:val="20"/>
              </w:rPr>
            </w:pPr>
            <w:r>
              <w:rPr>
                <w:rFonts w:hint="eastAsia" w:ascii="宋体" w:hAnsi="宋体" w:eastAsia="宋体" w:cs="宋体"/>
                <w:b/>
                <w:bCs/>
                <w:kern w:val="0"/>
                <w:sz w:val="20"/>
                <w:szCs w:val="20"/>
              </w:rPr>
              <w:t>社会公益组织</w:t>
            </w:r>
          </w:p>
        </w:tc>
        <w:tc>
          <w:tcPr>
            <w:tcW w:w="708" w:type="dxa"/>
            <w:shd w:val="clear" w:color="auto" w:fill="auto"/>
            <w:tcMar>
              <w:left w:w="108" w:type="dxa"/>
              <w:right w:w="108" w:type="dxa"/>
            </w:tcMar>
            <w:vAlign w:val="center"/>
          </w:tcPr>
          <w:p w14:paraId="433C15B8">
            <w:pPr>
              <w:widowControl/>
              <w:spacing w:line="320" w:lineRule="exact"/>
              <w:ind w:left="-106" w:leftChars="-51" w:right="-107" w:rightChars="-51" w:hanging="1"/>
              <w:jc w:val="center"/>
              <w:rPr>
                <w:rFonts w:hint="eastAsia" w:ascii="宋体" w:hAnsi="宋体" w:eastAsia="宋体" w:cs="宋体"/>
                <w:b/>
                <w:bCs/>
                <w:sz w:val="20"/>
                <w:szCs w:val="20"/>
              </w:rPr>
            </w:pPr>
            <w:r>
              <w:rPr>
                <w:rFonts w:hint="eastAsia" w:ascii="宋体" w:hAnsi="宋体" w:eastAsia="宋体" w:cs="宋体"/>
                <w:b/>
                <w:bCs/>
                <w:kern w:val="0"/>
                <w:sz w:val="20"/>
                <w:szCs w:val="20"/>
              </w:rPr>
              <w:t>法律服务机构</w:t>
            </w:r>
          </w:p>
        </w:tc>
        <w:tc>
          <w:tcPr>
            <w:tcW w:w="567" w:type="dxa"/>
            <w:shd w:val="clear" w:color="auto" w:fill="auto"/>
            <w:tcMar>
              <w:left w:w="108" w:type="dxa"/>
              <w:right w:w="108" w:type="dxa"/>
            </w:tcMar>
            <w:vAlign w:val="center"/>
          </w:tcPr>
          <w:p w14:paraId="64CFB24E">
            <w:pPr>
              <w:widowControl/>
              <w:spacing w:line="360" w:lineRule="exact"/>
              <w:ind w:left="-63" w:leftChars="-30" w:right="-134" w:rightChars="-64"/>
              <w:jc w:val="center"/>
              <w:rPr>
                <w:rFonts w:hint="eastAsia" w:ascii="宋体" w:hAnsi="宋体" w:eastAsia="宋体" w:cs="宋体"/>
                <w:b/>
                <w:bCs/>
                <w:sz w:val="20"/>
                <w:szCs w:val="20"/>
              </w:rPr>
            </w:pPr>
            <w:r>
              <w:rPr>
                <w:rFonts w:hint="eastAsia" w:ascii="宋体" w:hAnsi="宋体" w:eastAsia="宋体" w:cs="宋体"/>
                <w:b/>
                <w:bCs/>
                <w:kern w:val="0"/>
                <w:sz w:val="20"/>
                <w:szCs w:val="20"/>
              </w:rPr>
              <w:t>其他</w:t>
            </w:r>
          </w:p>
        </w:tc>
        <w:tc>
          <w:tcPr>
            <w:tcW w:w="851" w:type="dxa"/>
            <w:vMerge w:val="continue"/>
            <w:shd w:val="clear" w:color="auto" w:fill="auto"/>
            <w:tcMar>
              <w:left w:w="108" w:type="dxa"/>
              <w:right w:w="108" w:type="dxa"/>
            </w:tcMar>
            <w:vAlign w:val="center"/>
          </w:tcPr>
          <w:p w14:paraId="0E46B5A4">
            <w:pPr>
              <w:jc w:val="center"/>
              <w:rPr>
                <w:rFonts w:hint="eastAsia" w:ascii="宋体" w:hAnsi="宋体" w:eastAsia="宋体" w:cs="宋体"/>
                <w:b/>
                <w:bCs/>
                <w:sz w:val="20"/>
                <w:szCs w:val="20"/>
              </w:rPr>
            </w:pPr>
          </w:p>
        </w:tc>
      </w:tr>
      <w:tr w14:paraId="3B808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13B1AA8">
            <w:pPr>
              <w:widowControl/>
              <w:rPr>
                <w:rFonts w:hint="eastAsia" w:ascii="宋体" w:hAnsi="宋体" w:eastAsia="宋体" w:cs="宋体"/>
                <w:b/>
                <w:bCs/>
                <w:sz w:val="20"/>
                <w:szCs w:val="20"/>
              </w:rPr>
            </w:pPr>
            <w:r>
              <w:rPr>
                <w:rFonts w:hint="eastAsia" w:ascii="宋体" w:hAnsi="宋体" w:eastAsia="宋体" w:cs="宋体"/>
                <w:b/>
                <w:bCs/>
                <w:kern w:val="0"/>
                <w:sz w:val="20"/>
                <w:szCs w:val="20"/>
              </w:rPr>
              <w:t>一、本年新收政府信息公开申请数量</w:t>
            </w:r>
          </w:p>
        </w:tc>
        <w:tc>
          <w:tcPr>
            <w:tcW w:w="829" w:type="dxa"/>
            <w:shd w:val="clear" w:color="auto" w:fill="auto"/>
            <w:tcMar>
              <w:left w:w="108" w:type="dxa"/>
              <w:right w:w="108" w:type="dxa"/>
            </w:tcMar>
            <w:vAlign w:val="center"/>
          </w:tcPr>
          <w:p w14:paraId="229B7C1B">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3C9E28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09CD09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6DF939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1CF9EE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04BF50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B560BB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25F06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72D8E239">
            <w:pPr>
              <w:widowControl/>
              <w:rPr>
                <w:rFonts w:hint="eastAsia" w:ascii="宋体" w:hAnsi="宋体" w:eastAsia="宋体" w:cs="宋体"/>
                <w:b/>
                <w:bCs/>
                <w:sz w:val="20"/>
                <w:szCs w:val="20"/>
              </w:rPr>
            </w:pPr>
            <w:r>
              <w:rPr>
                <w:rFonts w:hint="eastAsia" w:ascii="宋体" w:hAnsi="宋体" w:eastAsia="宋体" w:cs="宋体"/>
                <w:b/>
                <w:bCs/>
                <w:kern w:val="0"/>
                <w:sz w:val="20"/>
                <w:szCs w:val="20"/>
              </w:rPr>
              <w:t>二、上年结转政府信息公开申请数量</w:t>
            </w:r>
          </w:p>
        </w:tc>
        <w:tc>
          <w:tcPr>
            <w:tcW w:w="829" w:type="dxa"/>
            <w:shd w:val="clear" w:color="auto" w:fill="auto"/>
            <w:tcMar>
              <w:left w:w="108" w:type="dxa"/>
              <w:right w:w="108" w:type="dxa"/>
            </w:tcMar>
            <w:vAlign w:val="center"/>
          </w:tcPr>
          <w:p w14:paraId="56BE861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D9759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3C6B33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BCB459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54907D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CE621B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ED56B9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C4B3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580EE05F">
            <w:pPr>
              <w:widowControl/>
              <w:spacing w:after="180"/>
              <w:rPr>
                <w:rFonts w:hint="eastAsia" w:ascii="宋体" w:hAnsi="宋体" w:eastAsia="宋体" w:cs="宋体"/>
                <w:b/>
                <w:bCs/>
                <w:sz w:val="20"/>
                <w:szCs w:val="20"/>
              </w:rPr>
            </w:pPr>
            <w:r>
              <w:rPr>
                <w:rFonts w:hint="eastAsia" w:ascii="宋体" w:hAnsi="宋体" w:eastAsia="宋体" w:cs="宋体"/>
                <w:b/>
                <w:bCs/>
                <w:kern w:val="0"/>
                <w:sz w:val="20"/>
                <w:szCs w:val="20"/>
              </w:rPr>
              <w:t>三、本年度办理结果</w:t>
            </w:r>
          </w:p>
        </w:tc>
        <w:tc>
          <w:tcPr>
            <w:tcW w:w="4677" w:type="dxa"/>
            <w:gridSpan w:val="2"/>
            <w:shd w:val="clear" w:color="auto" w:fill="auto"/>
            <w:tcMar>
              <w:left w:w="108" w:type="dxa"/>
              <w:right w:w="108" w:type="dxa"/>
            </w:tcMar>
            <w:vAlign w:val="center"/>
          </w:tcPr>
          <w:p w14:paraId="6DF3B037">
            <w:pPr>
              <w:widowControl/>
              <w:rPr>
                <w:rFonts w:hint="eastAsia" w:ascii="宋体" w:hAnsi="宋体" w:eastAsia="宋体" w:cs="宋体"/>
                <w:b/>
                <w:bCs/>
                <w:sz w:val="20"/>
                <w:szCs w:val="20"/>
              </w:rPr>
            </w:pPr>
            <w:r>
              <w:rPr>
                <w:rFonts w:hint="eastAsia" w:ascii="宋体" w:hAnsi="宋体" w:eastAsia="宋体" w:cs="宋体"/>
                <w:b/>
                <w:bCs/>
                <w:kern w:val="0"/>
                <w:sz w:val="20"/>
                <w:szCs w:val="20"/>
              </w:rPr>
              <w:t>（一）予以公开</w:t>
            </w:r>
          </w:p>
        </w:tc>
        <w:tc>
          <w:tcPr>
            <w:tcW w:w="829" w:type="dxa"/>
            <w:shd w:val="clear" w:color="auto" w:fill="auto"/>
            <w:tcMar>
              <w:left w:w="108" w:type="dxa"/>
              <w:right w:w="108" w:type="dxa"/>
            </w:tcMar>
            <w:vAlign w:val="center"/>
          </w:tcPr>
          <w:p w14:paraId="13E5ED8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F36A05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AA56EA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0D63E3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ACE91B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F6D34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C64F5B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8745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54514B2">
            <w:pPr>
              <w:rPr>
                <w:rFonts w:hint="eastAsia" w:ascii="宋体" w:hAnsi="宋体" w:eastAsia="宋体" w:cs="宋体"/>
                <w:b/>
                <w:bCs/>
                <w:sz w:val="20"/>
                <w:szCs w:val="20"/>
              </w:rPr>
            </w:pPr>
          </w:p>
        </w:tc>
        <w:tc>
          <w:tcPr>
            <w:tcW w:w="4677" w:type="dxa"/>
            <w:gridSpan w:val="2"/>
            <w:shd w:val="clear" w:color="auto" w:fill="auto"/>
            <w:tcMar>
              <w:left w:w="108" w:type="dxa"/>
              <w:right w:w="108" w:type="dxa"/>
            </w:tcMar>
            <w:vAlign w:val="center"/>
          </w:tcPr>
          <w:p w14:paraId="421CEA57">
            <w:pPr>
              <w:widowControl/>
              <w:rPr>
                <w:rFonts w:hint="eastAsia" w:ascii="宋体" w:hAnsi="宋体" w:eastAsia="宋体" w:cs="宋体"/>
                <w:b/>
                <w:bCs/>
                <w:sz w:val="20"/>
                <w:szCs w:val="20"/>
              </w:rPr>
            </w:pPr>
            <w:r>
              <w:rPr>
                <w:rFonts w:hint="eastAsia" w:ascii="宋体" w:hAnsi="宋体" w:eastAsia="宋体" w:cs="宋体"/>
                <w:b/>
                <w:bCs/>
                <w:kern w:val="0"/>
                <w:sz w:val="20"/>
                <w:szCs w:val="20"/>
              </w:rPr>
              <w:t>（二）部分公开（区分处理的，只计这一情形，不计其他情形）</w:t>
            </w:r>
          </w:p>
        </w:tc>
        <w:tc>
          <w:tcPr>
            <w:tcW w:w="829" w:type="dxa"/>
            <w:shd w:val="clear" w:color="auto" w:fill="auto"/>
            <w:tcMar>
              <w:left w:w="108" w:type="dxa"/>
              <w:right w:w="108" w:type="dxa"/>
            </w:tcMar>
            <w:vAlign w:val="center"/>
          </w:tcPr>
          <w:p w14:paraId="7DBAA4F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41E330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50DA31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0C177A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A52F17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0462D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41438D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6A688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7B50529">
            <w:pPr>
              <w:rPr>
                <w:rFonts w:hint="eastAsia" w:ascii="宋体" w:hAnsi="宋体" w:eastAsia="宋体" w:cs="宋体"/>
                <w:b/>
                <w:bCs/>
                <w:sz w:val="20"/>
                <w:szCs w:val="20"/>
              </w:rPr>
            </w:pPr>
          </w:p>
        </w:tc>
        <w:tc>
          <w:tcPr>
            <w:tcW w:w="1701" w:type="dxa"/>
            <w:vMerge w:val="restart"/>
            <w:shd w:val="clear" w:color="auto" w:fill="auto"/>
            <w:tcMar>
              <w:left w:w="108" w:type="dxa"/>
              <w:right w:w="108" w:type="dxa"/>
            </w:tcMar>
            <w:vAlign w:val="center"/>
          </w:tcPr>
          <w:p w14:paraId="6145C64B">
            <w:pPr>
              <w:widowControl/>
              <w:spacing w:line="200" w:lineRule="exact"/>
              <w:ind w:left="-107" w:leftChars="-51"/>
              <w:rPr>
                <w:rFonts w:hint="eastAsia" w:ascii="宋体" w:hAnsi="宋体" w:eastAsia="宋体" w:cs="宋体"/>
                <w:b/>
                <w:bCs/>
                <w:sz w:val="20"/>
                <w:szCs w:val="20"/>
              </w:rPr>
            </w:pPr>
            <w:r>
              <w:rPr>
                <w:rFonts w:hint="eastAsia" w:ascii="宋体" w:hAnsi="宋体" w:eastAsia="宋体" w:cs="宋体"/>
                <w:b/>
                <w:bCs/>
                <w:kern w:val="0"/>
                <w:sz w:val="20"/>
                <w:szCs w:val="20"/>
              </w:rPr>
              <w:t>（三）不予公开</w:t>
            </w:r>
          </w:p>
        </w:tc>
        <w:tc>
          <w:tcPr>
            <w:tcW w:w="2976" w:type="dxa"/>
            <w:shd w:val="clear" w:color="auto" w:fill="auto"/>
            <w:tcMar>
              <w:left w:w="108" w:type="dxa"/>
              <w:right w:w="108" w:type="dxa"/>
            </w:tcMar>
            <w:vAlign w:val="center"/>
          </w:tcPr>
          <w:p w14:paraId="680F7509">
            <w:pPr>
              <w:widowControl/>
              <w:spacing w:line="2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1.属于国家秘密</w:t>
            </w:r>
          </w:p>
        </w:tc>
        <w:tc>
          <w:tcPr>
            <w:tcW w:w="829" w:type="dxa"/>
            <w:shd w:val="clear" w:color="auto" w:fill="auto"/>
            <w:tcMar>
              <w:left w:w="108" w:type="dxa"/>
              <w:right w:w="108" w:type="dxa"/>
            </w:tcMar>
            <w:vAlign w:val="center"/>
          </w:tcPr>
          <w:p w14:paraId="44416E5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353099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05438A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643623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92D8B8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0E4719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23CCE3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397C27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ABE4E93">
            <w:pPr>
              <w:rPr>
                <w:rFonts w:hint="eastAsia" w:ascii="宋体" w:hAnsi="宋体" w:eastAsia="宋体" w:cs="宋体"/>
                <w:b/>
                <w:bCs/>
                <w:sz w:val="20"/>
                <w:szCs w:val="20"/>
              </w:rPr>
            </w:pPr>
          </w:p>
        </w:tc>
        <w:tc>
          <w:tcPr>
            <w:tcW w:w="1701" w:type="dxa"/>
            <w:vMerge w:val="continue"/>
            <w:shd w:val="clear" w:color="auto" w:fill="auto"/>
            <w:tcMar>
              <w:left w:w="108" w:type="dxa"/>
              <w:right w:w="108" w:type="dxa"/>
            </w:tcMar>
            <w:vAlign w:val="center"/>
          </w:tcPr>
          <w:p w14:paraId="6D250B7F">
            <w:pPr>
              <w:spacing w:line="200" w:lineRule="exact"/>
              <w:rPr>
                <w:rFonts w:hint="eastAsia" w:ascii="宋体" w:hAnsi="宋体" w:eastAsia="宋体" w:cs="宋体"/>
                <w:b/>
                <w:bCs/>
                <w:sz w:val="20"/>
                <w:szCs w:val="20"/>
              </w:rPr>
            </w:pPr>
          </w:p>
        </w:tc>
        <w:tc>
          <w:tcPr>
            <w:tcW w:w="2976" w:type="dxa"/>
            <w:shd w:val="clear" w:color="auto" w:fill="auto"/>
            <w:tcMar>
              <w:left w:w="108" w:type="dxa"/>
              <w:right w:w="108" w:type="dxa"/>
            </w:tcMar>
            <w:vAlign w:val="center"/>
          </w:tcPr>
          <w:p w14:paraId="73345C14">
            <w:pPr>
              <w:widowControl/>
              <w:spacing w:line="2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2.其他法律行政法规禁止公开</w:t>
            </w:r>
          </w:p>
        </w:tc>
        <w:tc>
          <w:tcPr>
            <w:tcW w:w="829" w:type="dxa"/>
            <w:shd w:val="clear" w:color="auto" w:fill="auto"/>
            <w:tcMar>
              <w:left w:w="108" w:type="dxa"/>
              <w:right w:w="108" w:type="dxa"/>
            </w:tcMar>
            <w:vAlign w:val="center"/>
          </w:tcPr>
          <w:p w14:paraId="37BA87F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3220A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7F0736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F263E9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A26C92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C21898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4F44AC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F7F94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DB1111">
            <w:pPr>
              <w:rPr>
                <w:rFonts w:hint="eastAsia" w:ascii="宋体" w:hAnsi="宋体" w:eastAsia="宋体" w:cs="宋体"/>
                <w:b/>
                <w:bCs/>
                <w:sz w:val="20"/>
                <w:szCs w:val="20"/>
              </w:rPr>
            </w:pPr>
          </w:p>
        </w:tc>
        <w:tc>
          <w:tcPr>
            <w:tcW w:w="1701" w:type="dxa"/>
            <w:vMerge w:val="continue"/>
            <w:shd w:val="clear" w:color="auto" w:fill="auto"/>
            <w:tcMar>
              <w:left w:w="108" w:type="dxa"/>
              <w:right w:w="108" w:type="dxa"/>
            </w:tcMar>
            <w:vAlign w:val="center"/>
          </w:tcPr>
          <w:p w14:paraId="2A5D4441">
            <w:pPr>
              <w:spacing w:line="200" w:lineRule="exact"/>
              <w:rPr>
                <w:rFonts w:hint="eastAsia" w:ascii="宋体" w:hAnsi="宋体" w:eastAsia="宋体" w:cs="宋体"/>
                <w:b/>
                <w:bCs/>
                <w:sz w:val="20"/>
                <w:szCs w:val="20"/>
              </w:rPr>
            </w:pPr>
          </w:p>
        </w:tc>
        <w:tc>
          <w:tcPr>
            <w:tcW w:w="2976" w:type="dxa"/>
            <w:shd w:val="clear" w:color="auto" w:fill="auto"/>
            <w:tcMar>
              <w:left w:w="108" w:type="dxa"/>
              <w:right w:w="108" w:type="dxa"/>
            </w:tcMar>
            <w:vAlign w:val="center"/>
          </w:tcPr>
          <w:p w14:paraId="5192C021">
            <w:pPr>
              <w:widowControl/>
              <w:spacing w:line="2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3.危及“三安全一稳定”</w:t>
            </w:r>
          </w:p>
        </w:tc>
        <w:tc>
          <w:tcPr>
            <w:tcW w:w="829" w:type="dxa"/>
            <w:shd w:val="clear" w:color="auto" w:fill="auto"/>
            <w:tcMar>
              <w:left w:w="108" w:type="dxa"/>
              <w:right w:w="108" w:type="dxa"/>
            </w:tcMar>
            <w:vAlign w:val="center"/>
          </w:tcPr>
          <w:p w14:paraId="6DCB706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2344F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CCE87D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97B179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3B6177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185D22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25723D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C473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16D78CD">
            <w:pPr>
              <w:rPr>
                <w:rFonts w:hint="eastAsia" w:ascii="宋体" w:hAnsi="宋体" w:eastAsia="宋体" w:cs="宋体"/>
                <w:b/>
                <w:bCs/>
                <w:sz w:val="20"/>
                <w:szCs w:val="20"/>
              </w:rPr>
            </w:pPr>
          </w:p>
        </w:tc>
        <w:tc>
          <w:tcPr>
            <w:tcW w:w="1701" w:type="dxa"/>
            <w:vMerge w:val="continue"/>
            <w:shd w:val="clear" w:color="auto" w:fill="auto"/>
            <w:tcMar>
              <w:left w:w="108" w:type="dxa"/>
              <w:right w:w="108" w:type="dxa"/>
            </w:tcMar>
            <w:vAlign w:val="center"/>
          </w:tcPr>
          <w:p w14:paraId="349BA619">
            <w:pPr>
              <w:spacing w:line="200" w:lineRule="exact"/>
              <w:rPr>
                <w:rFonts w:hint="eastAsia" w:ascii="宋体" w:hAnsi="宋体" w:eastAsia="宋体" w:cs="宋体"/>
                <w:b/>
                <w:bCs/>
                <w:sz w:val="20"/>
                <w:szCs w:val="20"/>
              </w:rPr>
            </w:pPr>
          </w:p>
        </w:tc>
        <w:tc>
          <w:tcPr>
            <w:tcW w:w="2976" w:type="dxa"/>
            <w:shd w:val="clear" w:color="auto" w:fill="auto"/>
            <w:tcMar>
              <w:left w:w="108" w:type="dxa"/>
              <w:right w:w="108" w:type="dxa"/>
            </w:tcMar>
            <w:vAlign w:val="center"/>
          </w:tcPr>
          <w:p w14:paraId="1DD2B2FB">
            <w:pPr>
              <w:widowControl/>
              <w:spacing w:line="2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4.保护第三方合法权益</w:t>
            </w:r>
          </w:p>
        </w:tc>
        <w:tc>
          <w:tcPr>
            <w:tcW w:w="829" w:type="dxa"/>
            <w:shd w:val="clear" w:color="auto" w:fill="auto"/>
            <w:tcMar>
              <w:left w:w="108" w:type="dxa"/>
              <w:right w:w="108" w:type="dxa"/>
            </w:tcMar>
            <w:vAlign w:val="center"/>
          </w:tcPr>
          <w:p w14:paraId="3F01A2E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5C6DDA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FF0FD5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A052F3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3B2674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54202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EB6967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1B8A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29A9872">
            <w:pPr>
              <w:rPr>
                <w:rFonts w:hint="eastAsia" w:ascii="宋体" w:hAnsi="宋体" w:eastAsia="宋体" w:cs="宋体"/>
                <w:b/>
                <w:bCs/>
                <w:sz w:val="20"/>
                <w:szCs w:val="20"/>
              </w:rPr>
            </w:pPr>
          </w:p>
        </w:tc>
        <w:tc>
          <w:tcPr>
            <w:tcW w:w="1701" w:type="dxa"/>
            <w:vMerge w:val="continue"/>
            <w:shd w:val="clear" w:color="auto" w:fill="auto"/>
            <w:tcMar>
              <w:left w:w="108" w:type="dxa"/>
              <w:right w:w="108" w:type="dxa"/>
            </w:tcMar>
            <w:vAlign w:val="center"/>
          </w:tcPr>
          <w:p w14:paraId="3512A3B3">
            <w:pPr>
              <w:spacing w:line="200" w:lineRule="exact"/>
              <w:rPr>
                <w:rFonts w:hint="eastAsia" w:ascii="宋体" w:hAnsi="宋体" w:eastAsia="宋体" w:cs="宋体"/>
                <w:b/>
                <w:bCs/>
                <w:sz w:val="20"/>
                <w:szCs w:val="20"/>
              </w:rPr>
            </w:pPr>
          </w:p>
        </w:tc>
        <w:tc>
          <w:tcPr>
            <w:tcW w:w="2976" w:type="dxa"/>
            <w:shd w:val="clear" w:color="auto" w:fill="auto"/>
            <w:tcMar>
              <w:left w:w="108" w:type="dxa"/>
              <w:right w:w="108" w:type="dxa"/>
            </w:tcMar>
            <w:vAlign w:val="center"/>
          </w:tcPr>
          <w:p w14:paraId="475EE367">
            <w:pPr>
              <w:widowControl/>
              <w:spacing w:line="2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5.属于三类内部事务信息</w:t>
            </w:r>
          </w:p>
        </w:tc>
        <w:tc>
          <w:tcPr>
            <w:tcW w:w="829" w:type="dxa"/>
            <w:shd w:val="clear" w:color="auto" w:fill="auto"/>
            <w:tcMar>
              <w:left w:w="108" w:type="dxa"/>
              <w:right w:w="108" w:type="dxa"/>
            </w:tcMar>
            <w:vAlign w:val="center"/>
          </w:tcPr>
          <w:p w14:paraId="376FB9C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FC08C2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6F1D5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92E94A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13F184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C0A02C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0F0E37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2030E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7E4FB48">
            <w:pPr>
              <w:rPr>
                <w:rFonts w:hint="eastAsia" w:ascii="宋体" w:hAnsi="宋体" w:eastAsia="宋体" w:cs="宋体"/>
                <w:b/>
                <w:bCs/>
                <w:sz w:val="20"/>
                <w:szCs w:val="20"/>
              </w:rPr>
            </w:pPr>
          </w:p>
        </w:tc>
        <w:tc>
          <w:tcPr>
            <w:tcW w:w="1701" w:type="dxa"/>
            <w:vMerge w:val="continue"/>
            <w:shd w:val="clear" w:color="auto" w:fill="auto"/>
            <w:tcMar>
              <w:left w:w="108" w:type="dxa"/>
              <w:right w:w="108" w:type="dxa"/>
            </w:tcMar>
            <w:vAlign w:val="center"/>
          </w:tcPr>
          <w:p w14:paraId="386913CF">
            <w:pPr>
              <w:spacing w:line="200" w:lineRule="exact"/>
              <w:rPr>
                <w:rFonts w:hint="eastAsia" w:ascii="宋体" w:hAnsi="宋体" w:eastAsia="宋体" w:cs="宋体"/>
                <w:b/>
                <w:bCs/>
                <w:sz w:val="20"/>
                <w:szCs w:val="20"/>
              </w:rPr>
            </w:pPr>
          </w:p>
        </w:tc>
        <w:tc>
          <w:tcPr>
            <w:tcW w:w="2976" w:type="dxa"/>
            <w:shd w:val="clear" w:color="auto" w:fill="auto"/>
            <w:tcMar>
              <w:left w:w="108" w:type="dxa"/>
              <w:right w:w="108" w:type="dxa"/>
            </w:tcMar>
            <w:vAlign w:val="center"/>
          </w:tcPr>
          <w:p w14:paraId="64BEFEE6">
            <w:pPr>
              <w:widowControl/>
              <w:spacing w:line="2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6.属于四类过程性信息</w:t>
            </w:r>
          </w:p>
        </w:tc>
        <w:tc>
          <w:tcPr>
            <w:tcW w:w="829" w:type="dxa"/>
            <w:shd w:val="clear" w:color="auto" w:fill="auto"/>
            <w:tcMar>
              <w:left w:w="108" w:type="dxa"/>
              <w:right w:w="108" w:type="dxa"/>
            </w:tcMar>
            <w:vAlign w:val="center"/>
          </w:tcPr>
          <w:p w14:paraId="4E43F23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529DF8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BB8EF1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2F4AE1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6EB772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1038E3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5A22FF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31FB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550E29D">
            <w:pPr>
              <w:rPr>
                <w:rFonts w:hint="eastAsia" w:ascii="宋体" w:hAnsi="宋体" w:eastAsia="宋体" w:cs="宋体"/>
                <w:b/>
                <w:bCs/>
                <w:sz w:val="20"/>
                <w:szCs w:val="20"/>
              </w:rPr>
            </w:pPr>
          </w:p>
        </w:tc>
        <w:tc>
          <w:tcPr>
            <w:tcW w:w="1701" w:type="dxa"/>
            <w:vMerge w:val="continue"/>
            <w:shd w:val="clear" w:color="auto" w:fill="auto"/>
            <w:tcMar>
              <w:left w:w="108" w:type="dxa"/>
              <w:right w:w="108" w:type="dxa"/>
            </w:tcMar>
            <w:vAlign w:val="center"/>
          </w:tcPr>
          <w:p w14:paraId="6F17C977">
            <w:pPr>
              <w:spacing w:line="200" w:lineRule="exact"/>
              <w:rPr>
                <w:rFonts w:hint="eastAsia" w:ascii="宋体" w:hAnsi="宋体" w:eastAsia="宋体" w:cs="宋体"/>
                <w:b/>
                <w:bCs/>
                <w:sz w:val="20"/>
                <w:szCs w:val="20"/>
              </w:rPr>
            </w:pPr>
          </w:p>
        </w:tc>
        <w:tc>
          <w:tcPr>
            <w:tcW w:w="2976" w:type="dxa"/>
            <w:shd w:val="clear" w:color="auto" w:fill="auto"/>
            <w:tcMar>
              <w:left w:w="108" w:type="dxa"/>
              <w:right w:w="108" w:type="dxa"/>
            </w:tcMar>
            <w:vAlign w:val="center"/>
          </w:tcPr>
          <w:p w14:paraId="65E9E848">
            <w:pPr>
              <w:widowControl/>
              <w:spacing w:line="2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7.属于行政执法案卷</w:t>
            </w:r>
          </w:p>
        </w:tc>
        <w:tc>
          <w:tcPr>
            <w:tcW w:w="829" w:type="dxa"/>
            <w:shd w:val="clear" w:color="auto" w:fill="auto"/>
            <w:tcMar>
              <w:left w:w="108" w:type="dxa"/>
              <w:right w:w="108" w:type="dxa"/>
            </w:tcMar>
            <w:vAlign w:val="center"/>
          </w:tcPr>
          <w:p w14:paraId="0180823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2FE95E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51E4C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E90655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010E73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3731E5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86595D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103F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F6AF16F">
            <w:pPr>
              <w:rPr>
                <w:rFonts w:hint="eastAsia" w:ascii="宋体" w:hAnsi="宋体" w:eastAsia="宋体" w:cs="宋体"/>
                <w:b/>
                <w:bCs/>
                <w:sz w:val="20"/>
                <w:szCs w:val="20"/>
              </w:rPr>
            </w:pPr>
          </w:p>
        </w:tc>
        <w:tc>
          <w:tcPr>
            <w:tcW w:w="1701" w:type="dxa"/>
            <w:vMerge w:val="continue"/>
            <w:shd w:val="clear" w:color="auto" w:fill="auto"/>
            <w:tcMar>
              <w:left w:w="108" w:type="dxa"/>
              <w:right w:w="108" w:type="dxa"/>
            </w:tcMar>
            <w:vAlign w:val="center"/>
          </w:tcPr>
          <w:p w14:paraId="0411A1E4">
            <w:pPr>
              <w:spacing w:line="200" w:lineRule="exact"/>
              <w:rPr>
                <w:rFonts w:hint="eastAsia" w:ascii="宋体" w:hAnsi="宋体" w:eastAsia="宋体" w:cs="宋体"/>
                <w:b/>
                <w:bCs/>
                <w:sz w:val="20"/>
                <w:szCs w:val="20"/>
              </w:rPr>
            </w:pPr>
          </w:p>
        </w:tc>
        <w:tc>
          <w:tcPr>
            <w:tcW w:w="2976" w:type="dxa"/>
            <w:shd w:val="clear" w:color="auto" w:fill="auto"/>
            <w:tcMar>
              <w:left w:w="108" w:type="dxa"/>
              <w:right w:w="108" w:type="dxa"/>
            </w:tcMar>
            <w:vAlign w:val="center"/>
          </w:tcPr>
          <w:p w14:paraId="7712F641">
            <w:pPr>
              <w:widowControl/>
              <w:spacing w:line="2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8.属于行政查询事项</w:t>
            </w:r>
          </w:p>
        </w:tc>
        <w:tc>
          <w:tcPr>
            <w:tcW w:w="829" w:type="dxa"/>
            <w:shd w:val="clear" w:color="auto" w:fill="auto"/>
            <w:tcMar>
              <w:left w:w="108" w:type="dxa"/>
              <w:right w:w="108" w:type="dxa"/>
            </w:tcMar>
            <w:vAlign w:val="center"/>
          </w:tcPr>
          <w:p w14:paraId="4D8DBFB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E24C6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8F9337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90E0FA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9246AC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85F20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AE9A35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275D9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23D0A3D">
            <w:pPr>
              <w:rPr>
                <w:rFonts w:hint="eastAsia" w:ascii="宋体" w:hAnsi="宋体" w:eastAsia="宋体" w:cs="宋体"/>
                <w:b/>
                <w:bCs/>
                <w:sz w:val="20"/>
                <w:szCs w:val="20"/>
              </w:rPr>
            </w:pPr>
          </w:p>
        </w:tc>
        <w:tc>
          <w:tcPr>
            <w:tcW w:w="1701" w:type="dxa"/>
            <w:vMerge w:val="restart"/>
            <w:shd w:val="clear" w:color="auto" w:fill="auto"/>
            <w:tcMar>
              <w:left w:w="108" w:type="dxa"/>
              <w:right w:w="108" w:type="dxa"/>
            </w:tcMar>
            <w:vAlign w:val="center"/>
          </w:tcPr>
          <w:p w14:paraId="66BEEF08">
            <w:pPr>
              <w:widowControl/>
              <w:spacing w:line="200" w:lineRule="exact"/>
              <w:ind w:left="-107" w:leftChars="-51"/>
              <w:rPr>
                <w:rFonts w:hint="eastAsia" w:ascii="宋体" w:hAnsi="宋体" w:eastAsia="宋体" w:cs="宋体"/>
                <w:b/>
                <w:bCs/>
                <w:sz w:val="20"/>
                <w:szCs w:val="20"/>
              </w:rPr>
            </w:pPr>
            <w:r>
              <w:rPr>
                <w:rFonts w:hint="eastAsia" w:ascii="宋体" w:hAnsi="宋体" w:eastAsia="宋体" w:cs="宋体"/>
                <w:b/>
                <w:bCs/>
                <w:kern w:val="0"/>
                <w:sz w:val="20"/>
                <w:szCs w:val="20"/>
              </w:rPr>
              <w:t>（四）无法提供</w:t>
            </w:r>
          </w:p>
        </w:tc>
        <w:tc>
          <w:tcPr>
            <w:tcW w:w="2976" w:type="dxa"/>
            <w:shd w:val="clear" w:color="auto" w:fill="auto"/>
            <w:tcMar>
              <w:left w:w="108" w:type="dxa"/>
              <w:right w:w="108" w:type="dxa"/>
            </w:tcMar>
            <w:vAlign w:val="center"/>
          </w:tcPr>
          <w:p w14:paraId="134642B2">
            <w:pPr>
              <w:widowControl/>
              <w:spacing w:line="2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1.本机关不掌握相关政府信息</w:t>
            </w:r>
          </w:p>
        </w:tc>
        <w:tc>
          <w:tcPr>
            <w:tcW w:w="829" w:type="dxa"/>
            <w:shd w:val="clear" w:color="auto" w:fill="auto"/>
            <w:tcMar>
              <w:left w:w="108" w:type="dxa"/>
              <w:right w:w="108" w:type="dxa"/>
            </w:tcMar>
            <w:vAlign w:val="center"/>
          </w:tcPr>
          <w:p w14:paraId="51735CF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5F42CC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301ED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8E0C74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4C354B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C1DE3E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4189C5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A581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91B69FB">
            <w:pPr>
              <w:rPr>
                <w:rFonts w:hint="eastAsia" w:ascii="宋体" w:hAnsi="宋体" w:eastAsia="宋体" w:cs="宋体"/>
                <w:b/>
                <w:bCs/>
                <w:sz w:val="20"/>
                <w:szCs w:val="20"/>
              </w:rPr>
            </w:pPr>
          </w:p>
        </w:tc>
        <w:tc>
          <w:tcPr>
            <w:tcW w:w="1701" w:type="dxa"/>
            <w:vMerge w:val="continue"/>
            <w:shd w:val="clear" w:color="auto" w:fill="auto"/>
            <w:tcMar>
              <w:left w:w="108" w:type="dxa"/>
              <w:right w:w="108" w:type="dxa"/>
            </w:tcMar>
            <w:vAlign w:val="center"/>
          </w:tcPr>
          <w:p w14:paraId="44005579">
            <w:pPr>
              <w:spacing w:line="200" w:lineRule="exact"/>
              <w:ind w:left="-107" w:leftChars="-51"/>
              <w:rPr>
                <w:rFonts w:hint="eastAsia" w:ascii="宋体" w:hAnsi="宋体" w:eastAsia="宋体" w:cs="宋体"/>
                <w:b/>
                <w:bCs/>
                <w:sz w:val="20"/>
                <w:szCs w:val="20"/>
              </w:rPr>
            </w:pPr>
          </w:p>
        </w:tc>
        <w:tc>
          <w:tcPr>
            <w:tcW w:w="2976" w:type="dxa"/>
            <w:shd w:val="clear" w:color="auto" w:fill="auto"/>
            <w:tcMar>
              <w:left w:w="108" w:type="dxa"/>
              <w:right w:w="108" w:type="dxa"/>
            </w:tcMar>
            <w:vAlign w:val="center"/>
          </w:tcPr>
          <w:p w14:paraId="5BCDE83F">
            <w:pPr>
              <w:widowControl/>
              <w:spacing w:line="2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2.没有现成信息需要另行制作</w:t>
            </w:r>
          </w:p>
        </w:tc>
        <w:tc>
          <w:tcPr>
            <w:tcW w:w="829" w:type="dxa"/>
            <w:shd w:val="clear" w:color="auto" w:fill="auto"/>
            <w:tcMar>
              <w:left w:w="108" w:type="dxa"/>
              <w:right w:w="108" w:type="dxa"/>
            </w:tcMar>
            <w:vAlign w:val="center"/>
          </w:tcPr>
          <w:p w14:paraId="7DCBCEC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089182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096F49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902CE0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D742D2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A527F3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4D27E4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DFA5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73B7115">
            <w:pPr>
              <w:rPr>
                <w:rFonts w:hint="eastAsia" w:ascii="宋体" w:hAnsi="宋体" w:eastAsia="宋体" w:cs="宋体"/>
                <w:b/>
                <w:bCs/>
                <w:sz w:val="20"/>
                <w:szCs w:val="20"/>
              </w:rPr>
            </w:pPr>
          </w:p>
        </w:tc>
        <w:tc>
          <w:tcPr>
            <w:tcW w:w="1701" w:type="dxa"/>
            <w:vMerge w:val="continue"/>
            <w:shd w:val="clear" w:color="auto" w:fill="auto"/>
            <w:tcMar>
              <w:left w:w="108" w:type="dxa"/>
              <w:right w:w="108" w:type="dxa"/>
            </w:tcMar>
            <w:vAlign w:val="center"/>
          </w:tcPr>
          <w:p w14:paraId="49A56E3E">
            <w:pPr>
              <w:spacing w:line="200" w:lineRule="exact"/>
              <w:ind w:left="-107" w:leftChars="-51"/>
              <w:rPr>
                <w:rFonts w:hint="eastAsia" w:ascii="宋体" w:hAnsi="宋体" w:eastAsia="宋体" w:cs="宋体"/>
                <w:b/>
                <w:bCs/>
                <w:sz w:val="20"/>
                <w:szCs w:val="20"/>
              </w:rPr>
            </w:pPr>
          </w:p>
        </w:tc>
        <w:tc>
          <w:tcPr>
            <w:tcW w:w="2976" w:type="dxa"/>
            <w:shd w:val="clear" w:color="auto" w:fill="auto"/>
            <w:tcMar>
              <w:left w:w="108" w:type="dxa"/>
              <w:right w:w="108" w:type="dxa"/>
            </w:tcMar>
            <w:vAlign w:val="center"/>
          </w:tcPr>
          <w:p w14:paraId="2A86FEBD">
            <w:pPr>
              <w:widowControl/>
              <w:spacing w:line="2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3.补正后申请内容仍不明确</w:t>
            </w:r>
          </w:p>
        </w:tc>
        <w:tc>
          <w:tcPr>
            <w:tcW w:w="829" w:type="dxa"/>
            <w:shd w:val="clear" w:color="auto" w:fill="auto"/>
            <w:tcMar>
              <w:left w:w="108" w:type="dxa"/>
              <w:right w:w="108" w:type="dxa"/>
            </w:tcMar>
            <w:vAlign w:val="center"/>
          </w:tcPr>
          <w:p w14:paraId="6299DD3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5199B4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3A0306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6867B9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3D95E0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695AC1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A4672B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1E68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E44068F">
            <w:pPr>
              <w:rPr>
                <w:rFonts w:hint="eastAsia" w:ascii="宋体" w:hAnsi="宋体" w:eastAsia="宋体" w:cs="宋体"/>
                <w:b/>
                <w:bCs/>
                <w:sz w:val="20"/>
                <w:szCs w:val="20"/>
              </w:rPr>
            </w:pPr>
          </w:p>
        </w:tc>
        <w:tc>
          <w:tcPr>
            <w:tcW w:w="1701" w:type="dxa"/>
            <w:vMerge w:val="restart"/>
            <w:shd w:val="clear" w:color="auto" w:fill="auto"/>
            <w:tcMar>
              <w:left w:w="108" w:type="dxa"/>
              <w:right w:w="108" w:type="dxa"/>
            </w:tcMar>
            <w:vAlign w:val="center"/>
          </w:tcPr>
          <w:p w14:paraId="373CBAC7">
            <w:pPr>
              <w:widowControl/>
              <w:spacing w:line="200" w:lineRule="exact"/>
              <w:ind w:left="-107" w:leftChars="-51"/>
              <w:rPr>
                <w:rFonts w:hint="eastAsia" w:ascii="宋体" w:hAnsi="宋体" w:eastAsia="宋体" w:cs="宋体"/>
                <w:b/>
                <w:bCs/>
                <w:sz w:val="20"/>
                <w:szCs w:val="20"/>
              </w:rPr>
            </w:pPr>
            <w:r>
              <w:rPr>
                <w:rFonts w:hint="eastAsia" w:ascii="宋体" w:hAnsi="宋体" w:eastAsia="宋体" w:cs="宋体"/>
                <w:b/>
                <w:bCs/>
                <w:kern w:val="0"/>
                <w:sz w:val="20"/>
                <w:szCs w:val="20"/>
              </w:rPr>
              <w:t>（五）不予处理</w:t>
            </w:r>
          </w:p>
        </w:tc>
        <w:tc>
          <w:tcPr>
            <w:tcW w:w="2976" w:type="dxa"/>
            <w:shd w:val="clear" w:color="auto" w:fill="auto"/>
            <w:tcMar>
              <w:left w:w="108" w:type="dxa"/>
              <w:right w:w="108" w:type="dxa"/>
            </w:tcMar>
            <w:vAlign w:val="center"/>
          </w:tcPr>
          <w:p w14:paraId="7CBDF1D1">
            <w:pPr>
              <w:widowControl/>
              <w:spacing w:line="2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1.信访举报投诉类申请</w:t>
            </w:r>
          </w:p>
        </w:tc>
        <w:tc>
          <w:tcPr>
            <w:tcW w:w="829" w:type="dxa"/>
            <w:shd w:val="clear" w:color="auto" w:fill="auto"/>
            <w:tcMar>
              <w:left w:w="108" w:type="dxa"/>
              <w:right w:w="108" w:type="dxa"/>
            </w:tcMar>
            <w:vAlign w:val="center"/>
          </w:tcPr>
          <w:p w14:paraId="3652C75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FA6245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514964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1D9A80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6F07E2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3C9EFF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94D84C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007A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892F08F">
            <w:pPr>
              <w:rPr>
                <w:rFonts w:hint="eastAsia" w:ascii="宋体" w:hAnsi="宋体" w:eastAsia="宋体" w:cs="宋体"/>
                <w:b/>
                <w:bCs/>
                <w:sz w:val="20"/>
                <w:szCs w:val="20"/>
              </w:rPr>
            </w:pPr>
          </w:p>
        </w:tc>
        <w:tc>
          <w:tcPr>
            <w:tcW w:w="1701" w:type="dxa"/>
            <w:vMerge w:val="continue"/>
            <w:shd w:val="clear" w:color="auto" w:fill="auto"/>
            <w:tcMar>
              <w:left w:w="108" w:type="dxa"/>
              <w:right w:w="108" w:type="dxa"/>
            </w:tcMar>
            <w:vAlign w:val="center"/>
          </w:tcPr>
          <w:p w14:paraId="7B028A7D">
            <w:pPr>
              <w:spacing w:line="200" w:lineRule="exact"/>
              <w:rPr>
                <w:rFonts w:hint="eastAsia" w:ascii="宋体" w:hAnsi="宋体" w:eastAsia="宋体" w:cs="宋体"/>
                <w:b/>
                <w:bCs/>
                <w:sz w:val="20"/>
                <w:szCs w:val="20"/>
              </w:rPr>
            </w:pPr>
          </w:p>
        </w:tc>
        <w:tc>
          <w:tcPr>
            <w:tcW w:w="2976" w:type="dxa"/>
            <w:shd w:val="clear" w:color="auto" w:fill="auto"/>
            <w:tcMar>
              <w:left w:w="108" w:type="dxa"/>
              <w:right w:w="108" w:type="dxa"/>
            </w:tcMar>
            <w:vAlign w:val="center"/>
          </w:tcPr>
          <w:p w14:paraId="0F55F95F">
            <w:pPr>
              <w:widowControl/>
              <w:spacing w:line="2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2.重复申请</w:t>
            </w:r>
          </w:p>
        </w:tc>
        <w:tc>
          <w:tcPr>
            <w:tcW w:w="829" w:type="dxa"/>
            <w:shd w:val="clear" w:color="auto" w:fill="auto"/>
            <w:tcMar>
              <w:left w:w="108" w:type="dxa"/>
              <w:right w:w="108" w:type="dxa"/>
            </w:tcMar>
            <w:vAlign w:val="center"/>
          </w:tcPr>
          <w:p w14:paraId="4370FCC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B19406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7833F1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E977CF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AD5BF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58B33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0B3944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24B7B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A342171">
            <w:pPr>
              <w:rPr>
                <w:rFonts w:hint="eastAsia" w:ascii="宋体" w:hAnsi="宋体" w:eastAsia="宋体" w:cs="宋体"/>
                <w:b/>
                <w:bCs/>
                <w:sz w:val="20"/>
                <w:szCs w:val="20"/>
              </w:rPr>
            </w:pPr>
          </w:p>
        </w:tc>
        <w:tc>
          <w:tcPr>
            <w:tcW w:w="1701" w:type="dxa"/>
            <w:vMerge w:val="continue"/>
            <w:shd w:val="clear" w:color="auto" w:fill="auto"/>
            <w:tcMar>
              <w:left w:w="108" w:type="dxa"/>
              <w:right w:w="108" w:type="dxa"/>
            </w:tcMar>
            <w:vAlign w:val="center"/>
          </w:tcPr>
          <w:p w14:paraId="1CD82C7A">
            <w:pPr>
              <w:spacing w:line="200" w:lineRule="exact"/>
              <w:rPr>
                <w:rFonts w:hint="eastAsia" w:ascii="宋体" w:hAnsi="宋体" w:eastAsia="宋体" w:cs="宋体"/>
                <w:b/>
                <w:bCs/>
                <w:sz w:val="20"/>
                <w:szCs w:val="20"/>
              </w:rPr>
            </w:pPr>
          </w:p>
        </w:tc>
        <w:tc>
          <w:tcPr>
            <w:tcW w:w="2976" w:type="dxa"/>
            <w:shd w:val="clear" w:color="auto" w:fill="auto"/>
            <w:tcMar>
              <w:left w:w="108" w:type="dxa"/>
              <w:right w:w="108" w:type="dxa"/>
            </w:tcMar>
            <w:vAlign w:val="center"/>
          </w:tcPr>
          <w:p w14:paraId="5F2AA80D">
            <w:pPr>
              <w:widowControl/>
              <w:spacing w:line="200" w:lineRule="exact"/>
              <w:rPr>
                <w:rFonts w:hint="eastAsia" w:ascii="宋体" w:hAnsi="宋体" w:eastAsia="宋体" w:cs="宋体"/>
                <w:b/>
                <w:bCs/>
                <w:sz w:val="20"/>
                <w:szCs w:val="20"/>
              </w:rPr>
            </w:pPr>
            <w:r>
              <w:rPr>
                <w:rFonts w:hint="eastAsia" w:ascii="宋体" w:hAnsi="宋体" w:eastAsia="宋体" w:cs="宋体"/>
                <w:b/>
                <w:bCs/>
                <w:kern w:val="0"/>
                <w:sz w:val="20"/>
                <w:szCs w:val="20"/>
              </w:rPr>
              <w:t>3.要求提供公开出版物</w:t>
            </w:r>
          </w:p>
        </w:tc>
        <w:tc>
          <w:tcPr>
            <w:tcW w:w="829" w:type="dxa"/>
            <w:shd w:val="clear" w:color="auto" w:fill="auto"/>
            <w:tcMar>
              <w:left w:w="108" w:type="dxa"/>
              <w:right w:w="108" w:type="dxa"/>
            </w:tcMar>
            <w:vAlign w:val="center"/>
          </w:tcPr>
          <w:p w14:paraId="519CB47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239BE4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8A2F8B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E880F8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9310E2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F40695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D971A7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DA06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B3B5DC8">
            <w:pPr>
              <w:rPr>
                <w:rFonts w:hint="eastAsia" w:ascii="宋体" w:hAnsi="宋体" w:eastAsia="宋体" w:cs="宋体"/>
                <w:b/>
                <w:bCs/>
                <w:sz w:val="20"/>
                <w:szCs w:val="20"/>
              </w:rPr>
            </w:pPr>
          </w:p>
        </w:tc>
        <w:tc>
          <w:tcPr>
            <w:tcW w:w="1701" w:type="dxa"/>
            <w:vMerge w:val="continue"/>
            <w:shd w:val="clear" w:color="auto" w:fill="auto"/>
            <w:tcMar>
              <w:left w:w="108" w:type="dxa"/>
              <w:right w:w="108" w:type="dxa"/>
            </w:tcMar>
            <w:vAlign w:val="center"/>
          </w:tcPr>
          <w:p w14:paraId="7278E6BC">
            <w:pPr>
              <w:spacing w:line="200" w:lineRule="exact"/>
              <w:rPr>
                <w:rFonts w:hint="eastAsia" w:ascii="宋体" w:hAnsi="宋体" w:eastAsia="宋体" w:cs="宋体"/>
                <w:b/>
                <w:bCs/>
                <w:sz w:val="20"/>
                <w:szCs w:val="20"/>
              </w:rPr>
            </w:pPr>
          </w:p>
        </w:tc>
        <w:tc>
          <w:tcPr>
            <w:tcW w:w="2976" w:type="dxa"/>
            <w:shd w:val="clear" w:color="auto" w:fill="auto"/>
            <w:tcMar>
              <w:left w:w="108" w:type="dxa"/>
              <w:right w:w="108" w:type="dxa"/>
            </w:tcMar>
            <w:vAlign w:val="center"/>
          </w:tcPr>
          <w:p w14:paraId="1BEA7D0C">
            <w:pPr>
              <w:widowControl/>
              <w:spacing w:line="200" w:lineRule="exact"/>
              <w:rPr>
                <w:rFonts w:hint="eastAsia" w:ascii="宋体" w:hAnsi="宋体" w:eastAsia="宋体" w:cs="宋体"/>
                <w:b/>
                <w:bCs/>
                <w:sz w:val="20"/>
                <w:szCs w:val="20"/>
              </w:rPr>
            </w:pPr>
            <w:r>
              <w:rPr>
                <w:rFonts w:hint="eastAsia" w:ascii="宋体" w:hAnsi="宋体" w:eastAsia="宋体" w:cs="宋体"/>
                <w:b/>
                <w:bCs/>
                <w:kern w:val="0"/>
                <w:sz w:val="20"/>
                <w:szCs w:val="20"/>
              </w:rPr>
              <w:t>4.无正当理由大量反复申请</w:t>
            </w:r>
          </w:p>
        </w:tc>
        <w:tc>
          <w:tcPr>
            <w:tcW w:w="829" w:type="dxa"/>
            <w:shd w:val="clear" w:color="auto" w:fill="auto"/>
            <w:tcMar>
              <w:left w:w="108" w:type="dxa"/>
              <w:right w:w="108" w:type="dxa"/>
            </w:tcMar>
            <w:vAlign w:val="center"/>
          </w:tcPr>
          <w:p w14:paraId="252915F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00D013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826CDC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291511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2F3DB2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65E6DD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B6E9D8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ED77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555FF05">
            <w:pPr>
              <w:rPr>
                <w:rFonts w:hint="eastAsia" w:ascii="宋体" w:hAnsi="宋体" w:eastAsia="宋体" w:cs="宋体"/>
                <w:b/>
                <w:bCs/>
                <w:sz w:val="20"/>
                <w:szCs w:val="20"/>
              </w:rPr>
            </w:pPr>
          </w:p>
        </w:tc>
        <w:tc>
          <w:tcPr>
            <w:tcW w:w="1701" w:type="dxa"/>
            <w:vMerge w:val="continue"/>
            <w:shd w:val="clear" w:color="auto" w:fill="auto"/>
            <w:tcMar>
              <w:left w:w="108" w:type="dxa"/>
              <w:right w:w="108" w:type="dxa"/>
            </w:tcMar>
            <w:vAlign w:val="center"/>
          </w:tcPr>
          <w:p w14:paraId="1134EF66">
            <w:pPr>
              <w:spacing w:line="200" w:lineRule="exact"/>
              <w:rPr>
                <w:rFonts w:hint="eastAsia" w:ascii="宋体" w:hAnsi="宋体" w:eastAsia="宋体" w:cs="宋体"/>
                <w:b/>
                <w:bCs/>
                <w:sz w:val="20"/>
                <w:szCs w:val="20"/>
              </w:rPr>
            </w:pPr>
          </w:p>
        </w:tc>
        <w:tc>
          <w:tcPr>
            <w:tcW w:w="2976" w:type="dxa"/>
            <w:shd w:val="clear" w:color="auto" w:fill="auto"/>
            <w:tcMar>
              <w:left w:w="108" w:type="dxa"/>
              <w:right w:w="108" w:type="dxa"/>
            </w:tcMar>
            <w:vAlign w:val="center"/>
          </w:tcPr>
          <w:p w14:paraId="3B463328">
            <w:pPr>
              <w:widowControl/>
              <w:spacing w:line="3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5.要求行政机关确认或重新</w:t>
            </w:r>
          </w:p>
          <w:p w14:paraId="42808A71">
            <w:pPr>
              <w:widowControl/>
              <w:spacing w:line="300" w:lineRule="exact"/>
              <w:ind w:firstLine="201" w:firstLineChars="100"/>
              <w:rPr>
                <w:rFonts w:hint="eastAsia" w:ascii="宋体" w:hAnsi="宋体" w:eastAsia="宋体" w:cs="宋体"/>
                <w:b/>
                <w:bCs/>
                <w:sz w:val="20"/>
                <w:szCs w:val="20"/>
              </w:rPr>
            </w:pPr>
            <w:r>
              <w:rPr>
                <w:rFonts w:hint="eastAsia" w:ascii="宋体" w:hAnsi="宋体" w:eastAsia="宋体" w:cs="宋体"/>
                <w:b/>
                <w:bCs/>
                <w:kern w:val="0"/>
                <w:sz w:val="20"/>
                <w:szCs w:val="20"/>
              </w:rPr>
              <w:t>出具已获取信息</w:t>
            </w:r>
          </w:p>
        </w:tc>
        <w:tc>
          <w:tcPr>
            <w:tcW w:w="829" w:type="dxa"/>
            <w:shd w:val="clear" w:color="auto" w:fill="auto"/>
            <w:tcMar>
              <w:left w:w="108" w:type="dxa"/>
              <w:right w:w="108" w:type="dxa"/>
            </w:tcMar>
            <w:vAlign w:val="center"/>
          </w:tcPr>
          <w:p w14:paraId="257ADE5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10FF93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0C4731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B645FF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19D861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617F3B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A1A8C6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29A6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3771AE5">
            <w:pPr>
              <w:rPr>
                <w:rFonts w:hint="eastAsia" w:ascii="宋体" w:hAnsi="宋体" w:eastAsia="宋体" w:cs="宋体"/>
                <w:b/>
                <w:bCs/>
                <w:sz w:val="20"/>
                <w:szCs w:val="20"/>
              </w:rPr>
            </w:pPr>
          </w:p>
        </w:tc>
        <w:tc>
          <w:tcPr>
            <w:tcW w:w="1701" w:type="dxa"/>
            <w:vMerge w:val="restart"/>
            <w:shd w:val="clear" w:color="auto" w:fill="auto"/>
            <w:tcMar>
              <w:left w:w="108" w:type="dxa"/>
              <w:right w:w="108" w:type="dxa"/>
            </w:tcMar>
            <w:vAlign w:val="center"/>
          </w:tcPr>
          <w:p w14:paraId="472929C6">
            <w:pPr>
              <w:widowControl/>
              <w:spacing w:line="3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（六）其他处理</w:t>
            </w:r>
          </w:p>
        </w:tc>
        <w:tc>
          <w:tcPr>
            <w:tcW w:w="2976" w:type="dxa"/>
            <w:shd w:val="clear" w:color="auto" w:fill="auto"/>
            <w:vAlign w:val="center"/>
          </w:tcPr>
          <w:p w14:paraId="650C1C89">
            <w:pPr>
              <w:widowControl/>
              <w:spacing w:line="300" w:lineRule="exact"/>
              <w:rPr>
                <w:rFonts w:hint="eastAsia" w:ascii="宋体" w:hAnsi="宋体" w:eastAsia="宋体" w:cs="宋体"/>
                <w:b/>
                <w:bCs/>
                <w:sz w:val="20"/>
                <w:szCs w:val="21"/>
              </w:rPr>
            </w:pPr>
            <w:r>
              <w:rPr>
                <w:rFonts w:hint="eastAsia" w:ascii="宋体" w:hAnsi="宋体" w:eastAsia="宋体" w:cs="宋体"/>
                <w:b/>
                <w:bCs/>
                <w:sz w:val="20"/>
                <w:szCs w:val="21"/>
              </w:rPr>
              <w:t>1.申请人无正当理由逾期不补正、行政机关不再处理其政府信息公开申请</w:t>
            </w:r>
          </w:p>
        </w:tc>
        <w:tc>
          <w:tcPr>
            <w:tcW w:w="829" w:type="dxa"/>
            <w:shd w:val="clear" w:color="auto" w:fill="auto"/>
            <w:tcMar>
              <w:left w:w="108" w:type="dxa"/>
              <w:right w:w="108" w:type="dxa"/>
            </w:tcMar>
            <w:vAlign w:val="center"/>
          </w:tcPr>
          <w:p w14:paraId="5974C81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9CDA52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BE5839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290CC8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BBA814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A0D04E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F0A601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2635A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05812BE">
            <w:pPr>
              <w:rPr>
                <w:rFonts w:hint="eastAsia" w:ascii="宋体" w:hAnsi="宋体" w:eastAsia="宋体" w:cs="宋体"/>
                <w:b/>
                <w:bCs/>
                <w:sz w:val="20"/>
                <w:szCs w:val="20"/>
              </w:rPr>
            </w:pPr>
          </w:p>
        </w:tc>
        <w:tc>
          <w:tcPr>
            <w:tcW w:w="1701" w:type="dxa"/>
            <w:vMerge w:val="continue"/>
            <w:shd w:val="clear" w:color="auto" w:fill="auto"/>
            <w:tcMar>
              <w:left w:w="108" w:type="dxa"/>
              <w:right w:w="108" w:type="dxa"/>
            </w:tcMar>
            <w:vAlign w:val="center"/>
          </w:tcPr>
          <w:p w14:paraId="29D003BA">
            <w:pPr>
              <w:widowControl/>
              <w:spacing w:line="300" w:lineRule="exact"/>
              <w:rPr>
                <w:rFonts w:hint="eastAsia" w:ascii="宋体" w:hAnsi="宋体" w:eastAsia="宋体" w:cs="宋体"/>
                <w:b/>
                <w:bCs/>
                <w:kern w:val="0"/>
                <w:sz w:val="20"/>
                <w:szCs w:val="20"/>
              </w:rPr>
            </w:pPr>
          </w:p>
        </w:tc>
        <w:tc>
          <w:tcPr>
            <w:tcW w:w="2976" w:type="dxa"/>
            <w:shd w:val="clear" w:color="auto" w:fill="auto"/>
            <w:vAlign w:val="center"/>
          </w:tcPr>
          <w:p w14:paraId="2AC6A4AE">
            <w:pPr>
              <w:widowControl/>
              <w:spacing w:line="300" w:lineRule="exact"/>
              <w:rPr>
                <w:rFonts w:hint="eastAsia" w:ascii="宋体" w:hAnsi="宋体" w:eastAsia="宋体" w:cs="宋体"/>
                <w:b/>
                <w:bCs/>
                <w:kern w:val="0"/>
                <w:sz w:val="20"/>
                <w:szCs w:val="20"/>
              </w:rPr>
            </w:pPr>
            <w:r>
              <w:rPr>
                <w:rFonts w:hint="eastAsia" w:ascii="宋体" w:hAnsi="宋体" w:eastAsia="宋体" w:cs="宋体"/>
                <w:b/>
                <w:bCs/>
                <w:sz w:val="20"/>
                <w:szCs w:val="21"/>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2E46D32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699A11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BB3C1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BA645C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67168D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61ACB0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684C20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349AE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A79D80F">
            <w:pPr>
              <w:rPr>
                <w:rFonts w:hint="eastAsia" w:ascii="宋体" w:hAnsi="宋体" w:eastAsia="宋体" w:cs="宋体"/>
                <w:b/>
                <w:bCs/>
                <w:sz w:val="20"/>
                <w:szCs w:val="20"/>
              </w:rPr>
            </w:pPr>
          </w:p>
        </w:tc>
        <w:tc>
          <w:tcPr>
            <w:tcW w:w="1701" w:type="dxa"/>
            <w:vMerge w:val="continue"/>
            <w:shd w:val="clear" w:color="auto" w:fill="auto"/>
            <w:tcMar>
              <w:left w:w="108" w:type="dxa"/>
              <w:right w:w="108" w:type="dxa"/>
            </w:tcMar>
            <w:vAlign w:val="center"/>
          </w:tcPr>
          <w:p w14:paraId="2DA55B65">
            <w:pPr>
              <w:widowControl/>
              <w:spacing w:line="300" w:lineRule="exact"/>
              <w:rPr>
                <w:rFonts w:hint="eastAsia" w:ascii="宋体" w:hAnsi="宋体" w:eastAsia="宋体" w:cs="宋体"/>
                <w:b/>
                <w:bCs/>
                <w:kern w:val="0"/>
                <w:sz w:val="20"/>
                <w:szCs w:val="20"/>
              </w:rPr>
            </w:pPr>
          </w:p>
        </w:tc>
        <w:tc>
          <w:tcPr>
            <w:tcW w:w="2976" w:type="dxa"/>
            <w:shd w:val="clear" w:color="auto" w:fill="auto"/>
            <w:vAlign w:val="center"/>
          </w:tcPr>
          <w:p w14:paraId="21D6D193">
            <w:pPr>
              <w:widowControl/>
              <w:spacing w:line="300" w:lineRule="exact"/>
              <w:rPr>
                <w:rFonts w:hint="eastAsia" w:ascii="宋体" w:hAnsi="宋体" w:eastAsia="宋体" w:cs="宋体"/>
                <w:b/>
                <w:bCs/>
                <w:kern w:val="0"/>
                <w:sz w:val="20"/>
                <w:szCs w:val="20"/>
              </w:rPr>
            </w:pPr>
            <w:r>
              <w:rPr>
                <w:rFonts w:hint="eastAsia" w:ascii="宋体" w:hAnsi="宋体" w:eastAsia="宋体" w:cs="宋体"/>
                <w:b/>
                <w:bCs/>
                <w:sz w:val="20"/>
                <w:szCs w:val="21"/>
              </w:rPr>
              <w:t>3.其他</w:t>
            </w:r>
          </w:p>
        </w:tc>
        <w:tc>
          <w:tcPr>
            <w:tcW w:w="829" w:type="dxa"/>
            <w:shd w:val="clear" w:color="auto" w:fill="auto"/>
            <w:tcMar>
              <w:left w:w="108" w:type="dxa"/>
              <w:right w:w="108" w:type="dxa"/>
            </w:tcMar>
            <w:vAlign w:val="center"/>
          </w:tcPr>
          <w:p w14:paraId="349BF3F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FBB4D6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EBEAF6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7E24B0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78158B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8F0427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56BEE9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30EAD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023CBCE">
            <w:pPr>
              <w:rPr>
                <w:rFonts w:hint="eastAsia" w:ascii="宋体" w:hAnsi="宋体" w:eastAsia="宋体" w:cs="宋体"/>
                <w:b/>
                <w:bCs/>
                <w:sz w:val="20"/>
                <w:szCs w:val="20"/>
              </w:rPr>
            </w:pPr>
          </w:p>
        </w:tc>
        <w:tc>
          <w:tcPr>
            <w:tcW w:w="4677" w:type="dxa"/>
            <w:gridSpan w:val="2"/>
            <w:shd w:val="clear" w:color="auto" w:fill="auto"/>
            <w:tcMar>
              <w:left w:w="108" w:type="dxa"/>
              <w:right w:w="108" w:type="dxa"/>
            </w:tcMar>
            <w:vAlign w:val="center"/>
          </w:tcPr>
          <w:p w14:paraId="2E940769">
            <w:pPr>
              <w:widowControl/>
              <w:spacing w:line="3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（七）总计</w:t>
            </w:r>
          </w:p>
        </w:tc>
        <w:tc>
          <w:tcPr>
            <w:tcW w:w="829" w:type="dxa"/>
            <w:shd w:val="clear" w:color="auto" w:fill="auto"/>
            <w:tcMar>
              <w:left w:w="108" w:type="dxa"/>
              <w:right w:w="108" w:type="dxa"/>
            </w:tcMar>
            <w:vAlign w:val="center"/>
          </w:tcPr>
          <w:p w14:paraId="418BA06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BF5CF6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76647C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023887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77715A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AF391B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388306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1914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6F508360">
            <w:pPr>
              <w:widowControl/>
              <w:spacing w:line="300" w:lineRule="exact"/>
              <w:rPr>
                <w:rFonts w:hint="eastAsia" w:ascii="宋体" w:hAnsi="宋体" w:eastAsia="宋体" w:cs="宋体"/>
                <w:b/>
                <w:bCs/>
                <w:kern w:val="0"/>
                <w:sz w:val="20"/>
                <w:szCs w:val="20"/>
              </w:rPr>
            </w:pPr>
            <w:r>
              <w:rPr>
                <w:rFonts w:hint="eastAsia" w:ascii="宋体" w:hAnsi="宋体" w:eastAsia="宋体" w:cs="宋体"/>
                <w:b/>
                <w:bCs/>
                <w:kern w:val="0"/>
                <w:sz w:val="20"/>
                <w:szCs w:val="20"/>
              </w:rPr>
              <w:t>四、结转下年度继续办理</w:t>
            </w:r>
          </w:p>
        </w:tc>
        <w:tc>
          <w:tcPr>
            <w:tcW w:w="829" w:type="dxa"/>
            <w:shd w:val="clear" w:color="auto" w:fill="auto"/>
            <w:tcMar>
              <w:left w:w="108" w:type="dxa"/>
              <w:right w:w="108" w:type="dxa"/>
            </w:tcMar>
            <w:vAlign w:val="center"/>
          </w:tcPr>
          <w:p w14:paraId="31BD844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DDCF67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B4DA4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0BBF35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CE3362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E3CCD6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4381DC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bl>
    <w:p w14:paraId="16443AE3">
      <w:pPr>
        <w:pStyle w:val="6"/>
        <w:numPr>
          <w:ilvl w:val="0"/>
          <w:numId w:val="0"/>
        </w:numPr>
        <w:ind w:leftChars="200"/>
        <w:rPr>
          <w:rFonts w:hint="eastAsia"/>
        </w:rPr>
      </w:pPr>
    </w:p>
    <w:p w14:paraId="049FB563">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46EECF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0472CD0">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5C592B">
            <w:pPr>
              <w:widowControl/>
              <w:jc w:val="center"/>
              <w:rPr>
                <w:rFonts w:ascii="黑体" w:hAnsi="黑体" w:eastAsia="黑体"/>
              </w:rPr>
            </w:pPr>
            <w:r>
              <w:rPr>
                <w:rFonts w:ascii="黑体" w:hAnsi="黑体" w:eastAsia="黑体"/>
                <w:kern w:val="0"/>
                <w:sz w:val="20"/>
                <w:szCs w:val="20"/>
              </w:rPr>
              <w:t>行政诉讼</w:t>
            </w:r>
          </w:p>
        </w:tc>
      </w:tr>
      <w:tr w14:paraId="4595EE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62859F">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0925EAE3">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E491AB0">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0EA0825">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4AA5A5">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02A58DB3">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67F0AE">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18D62EC9">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3A36EB">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C653BCE">
            <w:pPr>
              <w:widowControl/>
              <w:jc w:val="center"/>
              <w:rPr>
                <w:rFonts w:ascii="黑体" w:hAnsi="黑体" w:eastAsia="黑体"/>
              </w:rPr>
            </w:pPr>
            <w:r>
              <w:rPr>
                <w:rFonts w:ascii="黑体" w:hAnsi="黑体" w:eastAsia="黑体"/>
                <w:kern w:val="0"/>
                <w:sz w:val="20"/>
                <w:szCs w:val="20"/>
              </w:rPr>
              <w:t>复议后起诉</w:t>
            </w:r>
          </w:p>
        </w:tc>
      </w:tr>
      <w:tr w14:paraId="46EB72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4613AE">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C962FB8">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3DDCF5">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2D6621">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B9E8">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DBCDF3F">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B39A58D">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ED093B">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185AC3FA">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1CF106">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3635E59A">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A39771">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1EB9D25">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8617AC1">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2784C7A4">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5D3B00">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3E48D47D">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9A2BE4">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07AA72C">
            <w:pPr>
              <w:widowControl/>
              <w:jc w:val="center"/>
              <w:rPr>
                <w:rFonts w:ascii="黑体" w:hAnsi="黑体" w:eastAsia="黑体"/>
              </w:rPr>
            </w:pPr>
            <w:r>
              <w:rPr>
                <w:rFonts w:ascii="黑体" w:hAnsi="黑体" w:eastAsia="黑体"/>
                <w:kern w:val="0"/>
                <w:sz w:val="20"/>
                <w:szCs w:val="20"/>
              </w:rPr>
              <w:t>总计</w:t>
            </w:r>
          </w:p>
        </w:tc>
      </w:tr>
      <w:tr w14:paraId="78166F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C55324">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3F999B5E">
            <w:pPr>
              <w:widowControl/>
              <w:spacing w:after="180"/>
              <w:jc w:val="center"/>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0C4334C">
            <w:pPr>
              <w:widowControl/>
              <w:spacing w:after="180"/>
              <w:jc w:val="center"/>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373D42F">
            <w:pPr>
              <w:widowControl/>
              <w:spacing w:after="180"/>
              <w:jc w:val="center"/>
              <w:rPr>
                <w:rFonts w:ascii="Times New Roman" w:hAnsi="Times New Roma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D3BE77D">
            <w:pPr>
              <w:widowControl/>
              <w:spacing w:after="180"/>
              <w:jc w:val="center"/>
              <w:rPr>
                <w:rFonts w:ascii="Times New Roman" w:hAnsi="Times New Roma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D971CB1">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FAD8FC5">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51CE01">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A553D1B">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E8171CD">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D0E662">
            <w:pPr>
              <w:widowControl/>
              <w:spacing w:after="180"/>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CF163F">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84ADCFA">
            <w:pPr>
              <w:widowControl/>
              <w:spacing w:after="180"/>
              <w:jc w:val="center"/>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7FCB9C3">
            <w:pPr>
              <w:widowControl/>
              <w:spacing w:after="180"/>
              <w:jc w:val="center"/>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1810E96">
            <w:pPr>
              <w:widowControl/>
              <w:spacing w:after="180"/>
              <w:jc w:val="center"/>
              <w:rPr>
                <w:rFonts w:ascii="Times New Roman" w:hAnsi="Times New Roman"/>
              </w:rPr>
            </w:pPr>
            <w:r>
              <w:rPr>
                <w:rFonts w:hint="eastAsia" w:ascii="Times New Roman" w:hAnsi="Times New Roman"/>
                <w:lang w:val="en-US" w:eastAsia="zh-CN"/>
              </w:rPr>
              <w:t>0</w:t>
            </w:r>
          </w:p>
        </w:tc>
      </w:tr>
    </w:tbl>
    <w:p w14:paraId="5FB1B09E">
      <w:pPr>
        <w:pStyle w:val="6"/>
        <w:numPr>
          <w:ilvl w:val="0"/>
          <w:numId w:val="0"/>
        </w:numPr>
        <w:rPr>
          <w:rFonts w:hint="eastAsia"/>
        </w:rPr>
      </w:pPr>
    </w:p>
    <w:p w14:paraId="44FF97F7">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方正黑体简体" w:eastAsia="方正黑体简体"/>
          <w:b/>
          <w:sz w:val="32"/>
          <w:szCs w:val="32"/>
          <w:lang w:val="en-US" w:eastAsia="zh-CN"/>
        </w:rPr>
      </w:pPr>
      <w:r>
        <w:rPr>
          <w:rFonts w:hint="eastAsia" w:ascii="方正黑体简体" w:eastAsia="方正黑体简体"/>
          <w:b/>
          <w:sz w:val="32"/>
          <w:szCs w:val="32"/>
          <w:lang w:val="en-US" w:eastAsia="zh-CN"/>
        </w:rPr>
        <w:t>五、存在的主要问题及改进情况</w:t>
      </w:r>
    </w:p>
    <w:p w14:paraId="5AE963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2024年，我单位按照区党工委、管委会有关要求，真抓实干、狠抓落实，政府信息公开工作取得了新的进步，但仍存在公开内容更新不及时，形式不够丰富等问题。下一步，我单位将加大政府信息公开工作宣传教育力度，不断提升政府信息公开的质量和水平，加强政府信息管理，提高信息公开的主动性和时效性，切实增强我局信息公开的规范性、准确性、全面性，确保政务公开各项工作取得实效。</w:t>
      </w:r>
    </w:p>
    <w:p w14:paraId="7FEB22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方正仿宋简体" w:hAnsi="Times New Roman" w:eastAsia="方正仿宋简体" w:cs="Times New Roman"/>
          <w:b/>
          <w:color w:val="000000"/>
          <w:sz w:val="32"/>
          <w:szCs w:val="32"/>
          <w:lang w:val="en-US" w:eastAsia="zh-CN" w:bidi="ar-SA"/>
        </w:rPr>
      </w:pPr>
    </w:p>
    <w:p w14:paraId="188C8191">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方正黑体简体" w:eastAsia="方正黑体简体"/>
          <w:b/>
          <w:sz w:val="32"/>
          <w:szCs w:val="32"/>
          <w:lang w:val="en-US" w:eastAsia="zh-CN"/>
        </w:rPr>
      </w:pPr>
      <w:r>
        <w:rPr>
          <w:rFonts w:hint="eastAsia" w:ascii="方正黑体简体" w:eastAsia="方正黑体简体"/>
          <w:b/>
          <w:sz w:val="32"/>
          <w:szCs w:val="32"/>
          <w:lang w:val="en-US" w:eastAsia="zh-CN"/>
        </w:rPr>
        <w:t>六、其他需要报告的事项</w:t>
      </w:r>
    </w:p>
    <w:p w14:paraId="20CA823A">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（一）</w:t>
      </w:r>
      <w:r>
        <w:rPr>
          <w:rFonts w:hint="eastAsia" w:ascii="方正仿宋简体" w:eastAsia="方正仿宋简体"/>
          <w:b/>
          <w:color w:val="000000"/>
          <w:sz w:val="32"/>
          <w:szCs w:val="32"/>
          <w:lang w:eastAsia="zh-CN"/>
        </w:rPr>
        <w:t>依据《政府信息公开信息处理费管理办法》收取信息处理费的情况：</w:t>
      </w:r>
    </w:p>
    <w:p w14:paraId="23E42105">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2024年，我单位依据《政府信息公开信息处理费管理办法》，没有收取任何信息处理费用。</w:t>
      </w:r>
    </w:p>
    <w:p w14:paraId="0AB863AE">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eastAsia" w:ascii="方正仿宋简体" w:eastAsia="方正仿宋简体"/>
          <w:b/>
          <w:color w:val="000000"/>
          <w:sz w:val="32"/>
          <w:szCs w:val="32"/>
          <w:lang w:eastAsia="zh-CN"/>
        </w:rPr>
      </w:pP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lang w:val="en-US" w:eastAsia="zh-CN"/>
        </w:rPr>
        <w:t>二</w:t>
      </w:r>
      <w:r>
        <w:rPr>
          <w:rFonts w:hint="eastAsia" w:ascii="方正仿宋简体" w:eastAsia="方正仿宋简体"/>
          <w:b/>
          <w:color w:val="000000"/>
          <w:sz w:val="32"/>
          <w:szCs w:val="32"/>
          <w:lang w:eastAsia="zh-CN"/>
        </w:rPr>
        <w:t>）本行政机关落实上级年度政务公开工作要点情况：</w:t>
      </w:r>
    </w:p>
    <w:p w14:paraId="02F1FC2A">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eastAsia" w:ascii="方正仿宋简体" w:eastAsia="方正仿宋简体"/>
          <w:b/>
          <w:color w:val="000000"/>
          <w:sz w:val="32"/>
          <w:szCs w:val="32"/>
          <w:lang w:eastAsia="zh-CN"/>
        </w:rPr>
      </w:pPr>
      <w:r>
        <w:rPr>
          <w:rFonts w:hint="eastAsia" w:ascii="方正仿宋简体" w:eastAsia="方正仿宋简体"/>
          <w:b/>
          <w:color w:val="000000"/>
          <w:sz w:val="32"/>
          <w:szCs w:val="32"/>
          <w:lang w:eastAsia="zh-CN"/>
        </w:rPr>
        <w:t>202</w:t>
      </w:r>
      <w:r>
        <w:rPr>
          <w:rFonts w:hint="eastAsia" w:ascii="方正仿宋简体" w:eastAsia="方正仿宋简体"/>
          <w:b/>
          <w:color w:val="000000"/>
          <w:sz w:val="32"/>
          <w:szCs w:val="32"/>
          <w:lang w:val="en-US" w:eastAsia="zh-CN"/>
        </w:rPr>
        <w:t>4</w:t>
      </w:r>
      <w:r>
        <w:rPr>
          <w:rFonts w:hint="eastAsia" w:ascii="方正仿宋简体" w:eastAsia="方正仿宋简体"/>
          <w:b/>
          <w:color w:val="000000"/>
          <w:sz w:val="32"/>
          <w:szCs w:val="32"/>
          <w:lang w:eastAsia="zh-CN"/>
        </w:rPr>
        <w:t>年，</w:t>
      </w:r>
      <w:r>
        <w:rPr>
          <w:rFonts w:hint="eastAsia" w:ascii="方正仿宋简体" w:eastAsia="方正仿宋简体"/>
          <w:b/>
          <w:color w:val="000000"/>
          <w:sz w:val="32"/>
          <w:szCs w:val="32"/>
          <w:lang w:val="en-US" w:eastAsia="zh-CN"/>
        </w:rPr>
        <w:t>我单位</w:t>
      </w:r>
      <w:r>
        <w:rPr>
          <w:rFonts w:hint="eastAsia" w:ascii="方正仿宋简体" w:eastAsia="方正仿宋简体"/>
          <w:b/>
          <w:color w:val="000000"/>
          <w:sz w:val="32"/>
          <w:szCs w:val="32"/>
          <w:lang w:eastAsia="zh-CN"/>
        </w:rPr>
        <w:t>认真落实上级部门年度政务工作要点，进一步细化分解，将任务责任到人，确保应公开尽公开，不断提升政务公开能力水平。</w:t>
      </w:r>
    </w:p>
    <w:p w14:paraId="1BB415BB">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eastAsia" w:ascii="方正仿宋简体" w:eastAsia="方正仿宋简体"/>
          <w:b/>
          <w:color w:val="000000"/>
          <w:sz w:val="32"/>
          <w:szCs w:val="32"/>
          <w:lang w:eastAsia="zh-CN"/>
        </w:rPr>
      </w:pPr>
      <w:r>
        <w:rPr>
          <w:rFonts w:hint="eastAsia" w:ascii="方正仿宋简体" w:eastAsia="方正仿宋简体"/>
          <w:b/>
          <w:color w:val="000000"/>
          <w:sz w:val="32"/>
          <w:szCs w:val="32"/>
          <w:lang w:eastAsia="zh-CN"/>
        </w:rPr>
        <w:t>（三）本行政机关人大代表建议和政协提案办理结果公开情况：</w:t>
      </w:r>
    </w:p>
    <w:p w14:paraId="25952B7C">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ascii="仿宋_GB2312" w:eastAsia="仿宋_GB2312"/>
          <w:sz w:val="32"/>
          <w:szCs w:val="32"/>
        </w:rPr>
      </w:pPr>
      <w:r>
        <w:rPr>
          <w:rFonts w:hint="eastAsia" w:ascii="方正仿宋简体" w:eastAsia="方正仿宋简体"/>
          <w:b/>
          <w:color w:val="000000"/>
          <w:sz w:val="32"/>
          <w:szCs w:val="32"/>
          <w:lang w:val="en-US" w:eastAsia="zh-CN"/>
        </w:rPr>
        <w:t>我单位</w:t>
      </w:r>
      <w:r>
        <w:rPr>
          <w:rFonts w:hint="eastAsia" w:ascii="方正仿宋简体" w:eastAsia="方正仿宋简体"/>
          <w:b/>
          <w:color w:val="000000"/>
          <w:sz w:val="32"/>
          <w:szCs w:val="32"/>
          <w:lang w:eastAsia="zh-CN"/>
        </w:rPr>
        <w:t>未承办人大代表建议和政协提案。</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8240591"/>
      <w:docPartObj>
        <w:docPartGallery w:val="autotext"/>
      </w:docPartObj>
    </w:sdtPr>
    <w:sdtEndPr>
      <w:rPr>
        <w:rFonts w:ascii="宋体" w:hAnsi="宋体" w:eastAsia="宋体"/>
        <w:sz w:val="28"/>
        <w:szCs w:val="28"/>
      </w:rPr>
    </w:sdtEndPr>
    <w:sdtContent>
      <w:p w14:paraId="01DAED7E">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D4801"/>
    <w:multiLevelType w:val="singleLevel"/>
    <w:tmpl w:val="618D48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4YWMxOWQ0Y2Y1N2VlYzE5ZGZhMjdmYWJkYjgzNjA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E60E67"/>
    <w:rsid w:val="00F00377"/>
    <w:rsid w:val="00F97B01"/>
    <w:rsid w:val="08CE24EF"/>
    <w:rsid w:val="15024E9D"/>
    <w:rsid w:val="1F0C759A"/>
    <w:rsid w:val="22432A53"/>
    <w:rsid w:val="23B743BC"/>
    <w:rsid w:val="26810D0A"/>
    <w:rsid w:val="2D651106"/>
    <w:rsid w:val="30631288"/>
    <w:rsid w:val="34425B51"/>
    <w:rsid w:val="37135F21"/>
    <w:rsid w:val="39D825BC"/>
    <w:rsid w:val="4BAC1984"/>
    <w:rsid w:val="5E884F3F"/>
    <w:rsid w:val="638C6E49"/>
    <w:rsid w:val="67EF6D80"/>
    <w:rsid w:val="6E5716B6"/>
    <w:rsid w:val="766B2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Date"/>
    <w:basedOn w:val="1"/>
    <w:next w:val="1"/>
    <w:link w:val="14"/>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tabs>
        <w:tab w:val="center" w:pos="4153"/>
        <w:tab w:val="right" w:pos="8306"/>
      </w:tabs>
      <w:snapToGrid w:val="0"/>
      <w:jc w:val="center"/>
    </w:pPr>
    <w:rPr>
      <w:sz w:val="18"/>
      <w:szCs w:val="18"/>
    </w:rPr>
  </w:style>
  <w:style w:type="paragraph" w:styleId="6">
    <w:name w:val="toc 1"/>
    <w:basedOn w:val="1"/>
    <w:next w:val="1"/>
    <w:autoRedefine/>
    <w:qFormat/>
    <w:uiPriority w:val="39"/>
  </w:style>
  <w:style w:type="paragraph" w:styleId="7">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10">
    <w:name w:val="Strong"/>
    <w:qFormat/>
    <w:uiPriority w:val="0"/>
    <w:rPr>
      <w:b/>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日期 字符"/>
    <w:basedOn w:val="9"/>
    <w:link w:val="3"/>
    <w:autoRedefine/>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mn-cs"/>
              </a:defRPr>
            </a:pPr>
            <a:r>
              <a:t>政务公开工作情况</a:t>
            </a:r>
          </a:p>
        </c:rich>
      </c:tx>
      <c:layout/>
      <c:overlay val="0"/>
      <c:spPr>
        <a:noFill/>
        <a:ln>
          <a:noFill/>
        </a:ln>
        <a:effectLst/>
      </c:spPr>
    </c:title>
    <c:autoTitleDeleted val="0"/>
    <c:plotArea>
      <c:layout>
        <c:manualLayout>
          <c:layoutTarget val="inner"/>
          <c:xMode val="edge"/>
          <c:yMode val="edge"/>
          <c:x val="0.065227682747561"/>
          <c:y val="0.247100273018485"/>
          <c:w val="0.387144193505279"/>
          <c:h val="0.64607493309545"/>
        </c:manualLayout>
      </c:layout>
      <c:pieChart>
        <c:varyColors val="1"/>
        <c:ser>
          <c:idx val="0"/>
          <c:order val="0"/>
          <c:tx>
            <c:strRef>
              <c:f>Sheet1!$B$1</c:f>
              <c:strCache>
                <c:ptCount val="1"/>
                <c:pt idx="0">
                  <c:v>政务公开工作情况</c:v>
                </c:pt>
              </c:strCache>
            </c:strRef>
          </c:tx>
          <c:spPr>
            <a:ln w="19050">
              <a:solidFill>
                <a:schemeClr val="bg1"/>
              </a:solidFill>
            </a:ln>
            <a:effectLst>
              <a:outerShdw blurRad="63500" sx="102000" sy="102000" algn="ctr" rotWithShape="0">
                <a:srgbClr val="384C7C">
                  <a:alpha val="18000"/>
                </a:srgbClr>
              </a:outerShdw>
            </a:effectLst>
          </c:spPr>
          <c:explosion val="0"/>
          <c:dPt>
            <c:idx val="0"/>
            <c:bubble3D val="0"/>
            <c:spPr>
              <a:solidFill>
                <a:srgbClr val="04CD9E"/>
              </a:solidFill>
              <a:ln w="19050">
                <a:solidFill>
                  <a:schemeClr val="bg1"/>
                </a:solidFill>
                <a:miter lim="800000"/>
              </a:ln>
              <a:effectLst>
                <a:outerShdw blurRad="63500" sx="102000" sy="102000" algn="ctr" rotWithShape="0">
                  <a:srgbClr val="384C7C">
                    <a:alpha val="18000"/>
                  </a:srgbClr>
                </a:outerShdw>
              </a:effectLst>
            </c:spPr>
          </c:dPt>
          <c:dPt>
            <c:idx val="1"/>
            <c:bubble3D val="0"/>
            <c:spPr>
              <a:solidFill>
                <a:srgbClr val="80E214"/>
              </a:solidFill>
              <a:ln w="22225">
                <a:solidFill>
                  <a:schemeClr val="bg1"/>
                </a:solidFill>
              </a:ln>
              <a:effectLst>
                <a:outerShdw blurRad="63500" sx="102000" sy="102000" algn="ctr" rotWithShape="0">
                  <a:srgbClr val="384C7C">
                    <a:alpha val="18000"/>
                  </a:srgbClr>
                </a:outerShdw>
              </a:effectLst>
            </c:spPr>
          </c:dPt>
          <c:dPt>
            <c:idx val="2"/>
            <c:bubble3D val="0"/>
            <c:spPr>
              <a:solidFill>
                <a:srgbClr val="119FBE"/>
              </a:solidFill>
              <a:ln w="19050">
                <a:solidFill>
                  <a:schemeClr val="bg1"/>
                </a:solidFill>
              </a:ln>
              <a:effectLst>
                <a:outerShdw blurRad="63500" sx="102000" sy="102000" algn="ctr" rotWithShape="0">
                  <a:srgbClr val="384C7C">
                    <a:alpha val="18000"/>
                  </a:srgbClr>
                </a:outerShdw>
              </a:effectLst>
            </c:spPr>
          </c:dPt>
          <c:dPt>
            <c:idx val="3"/>
            <c:bubble3D val="0"/>
            <c:spPr>
              <a:solidFill>
                <a:srgbClr val="EBC279"/>
              </a:solidFill>
              <a:ln w="19050">
                <a:solidFill>
                  <a:schemeClr val="bg1"/>
                </a:solidFill>
              </a:ln>
              <a:effectLst>
                <a:outerShdw blurRad="63500" sx="102000" sy="102000" algn="ctr" rotWithShape="0">
                  <a:srgbClr val="384C7C">
                    <a:alpha val="18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财政预决算</c:v>
                </c:pt>
                <c:pt idx="1">
                  <c:v>巩固脱贫攻坚成果</c:v>
                </c:pt>
                <c:pt idx="2">
                  <c:v>“双随机、 一公开”监管和农产品质量安全监管</c:v>
                </c:pt>
                <c:pt idx="3">
                  <c:v>涉农补贴</c:v>
                </c:pt>
              </c:strCache>
            </c:strRef>
          </c:cat>
          <c:val>
            <c:numRef>
              <c:f>Sheet1!$B$2:$B$5</c:f>
              <c:numCache>
                <c:formatCode>General</c:formatCode>
                <c:ptCount val="4"/>
                <c:pt idx="0">
                  <c:v>4</c:v>
                </c:pt>
                <c:pt idx="1">
                  <c:v>20</c:v>
                </c:pt>
                <c:pt idx="2">
                  <c:v>12</c:v>
                </c:pt>
                <c:pt idx="3">
                  <c:v>25</c:v>
                </c:pt>
              </c:numCache>
            </c:numRef>
          </c:val>
        </c:ser>
        <c:dLbls>
          <c:showLegendKey val="0"/>
          <c:showVal val="1"/>
          <c:showCatName val="0"/>
          <c:showSerName val="0"/>
          <c:showPercent val="0"/>
          <c:showBubbleSize val="0"/>
          <c:showLeaderLines val="1"/>
        </c:dLbls>
        <c:firstSliceAng val="8"/>
      </c:pieChart>
      <c:spPr>
        <a:noFill/>
        <a:ln>
          <a:noFill/>
        </a:ln>
        <a:effectLst/>
      </c:spPr>
    </c:plotArea>
    <c:legend>
      <c:legendPos val="r"/>
      <c:legendEntry>
        <c:idx val="0"/>
        <c:txPr>
          <a:bodyPr rot="0" spcFirstLastPara="0" vertOverflow="ellipsis" vert="horz" wrap="square" anchor="ctr" anchorCtr="1"/>
          <a:lstStyle/>
          <a:p>
            <a:pPr>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panose="020B0503020204020204" charset="-122"/>
                <a:ea typeface="微软雅黑" panose="020B0503020204020204" charset="-122"/>
                <a:cs typeface="+mn-cs"/>
              </a:defRPr>
            </a:pPr>
          </a:p>
        </c:txPr>
      </c:legendEntry>
      <c:legendEntry>
        <c:idx val="1"/>
        <c:txPr>
          <a:bodyPr rot="0" spcFirstLastPara="0" vertOverflow="ellipsis" vert="horz" wrap="square" anchor="ctr" anchorCtr="1"/>
          <a:lstStyle/>
          <a:p>
            <a:pPr>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panose="020B0503020204020204" charset="-122"/>
                <a:ea typeface="微软雅黑" panose="020B0503020204020204" charset="-122"/>
                <a:cs typeface="+mn-cs"/>
              </a:defRPr>
            </a:pPr>
          </a:p>
        </c:txPr>
      </c:legendEntry>
      <c:legendEntry>
        <c:idx val="2"/>
        <c:txPr>
          <a:bodyPr rot="0" spcFirstLastPara="0" vertOverflow="ellipsis" vert="horz" wrap="square" anchor="ctr" anchorCtr="1"/>
          <a:lstStyle/>
          <a:p>
            <a:pPr>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panose="020B0503020204020204" charset="-122"/>
                <a:ea typeface="微软雅黑" panose="020B0503020204020204" charset="-122"/>
                <a:cs typeface="+mn-cs"/>
              </a:defRPr>
            </a:pPr>
          </a:p>
        </c:txPr>
      </c:legendEntry>
      <c:legendEntry>
        <c:idx val="3"/>
        <c:txPr>
          <a:bodyPr rot="0" spcFirstLastPara="0" vertOverflow="ellipsis" vert="horz" wrap="square" anchor="ctr" anchorCtr="1"/>
          <a:lstStyle/>
          <a:p>
            <a:pPr>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panose="020B0503020204020204" charset="-122"/>
                <a:ea typeface="微软雅黑" panose="020B0503020204020204" charset="-122"/>
                <a:cs typeface="+mn-cs"/>
              </a:defRPr>
            </a:pPr>
          </a:p>
        </c:txPr>
      </c:legendEntry>
      <c:layout>
        <c:manualLayout>
          <c:xMode val="edge"/>
          <c:yMode val="edge"/>
          <c:x val="0.59502409795493"/>
          <c:y val="0.132828009384588"/>
          <c:w val="0.302852676826885"/>
          <c:h val="0.793178126691933"/>
        </c:manualLayout>
      </c:layout>
      <c:overlay val="0"/>
      <c:spPr>
        <a:noFill/>
        <a:ln>
          <a:noFill/>
        </a:ln>
        <a:effectLst/>
      </c:spPr>
      <c:txPr>
        <a:bodyPr rot="0" spcFirstLastPara="0" vertOverflow="ellipsis" vert="horz" wrap="square" anchor="ctr" anchorCtr="1" forceAA="0"/>
        <a:lstStyle/>
        <a:p>
          <a:pPr>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panose="020B0503020204020204" charset="-122"/>
              <a:ea typeface="微软雅黑" panose="020B0503020204020204" charset="-122"/>
              <a:cs typeface="+mn-cs"/>
            </a:defRPr>
          </a:pPr>
        </a:p>
      </c:txPr>
    </c:legend>
    <c:plotVisOnly val="1"/>
    <c:dispBlanksAs val="gap"/>
    <c:showDLblsOverMax val="0"/>
    <c:extLst>
      <c:ext uri="{0b15fc19-7d7d-44ad-8c2d-2c3a37ce22c3}">
        <chartProps xmlns="https://web.wps.cn/et/2018/main" chartId="{0457e81a-8f8f-4825-8084-597c38df8b46}"/>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7</Pages>
  <Words>2587</Words>
  <Characters>2680</Characters>
  <Lines>30</Lines>
  <Paragraphs>8</Paragraphs>
  <TotalTime>23</TotalTime>
  <ScaleCrop>false</ScaleCrop>
  <LinksUpToDate>false</LinksUpToDate>
  <CharactersWithSpaces>2684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WPS_1622011048</cp:lastModifiedBy>
  <cp:lastPrinted>2024-01-02T08:50:00Z</cp:lastPrinted>
  <dcterms:modified xsi:type="dcterms:W3CDTF">2025-01-23T00:33:23Z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5E8CB6EA51874EFEBB7E951CB6081075_13</vt:lpwstr>
  </property>
  <property fmtid="{D5CDD505-2E9C-101B-9397-08002B2CF9AE}" pid="4" name="KSOTemplateDocerSaveRecord">
    <vt:lpwstr>eyJoZGlkIjoiYTY4YWMxOWQ0Y2Y1N2VlYzE5ZGZhMjdmYWJkYjgzNjAiLCJ1c2VySWQiOiIxMjEwNDE1NjE4In0=</vt:lpwstr>
  </property>
</Properties>
</file>