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right="-100" w:rightChars="-50"/>
        <w:jc w:val="center"/>
        <w:rPr>
          <w:rFonts w:hint="eastAsia" w:ascii="方正小标宋简体" w:eastAsia="方正小标宋简体"/>
          <w:b/>
          <w:color w:val="000000"/>
          <w:sz w:val="44"/>
          <w:szCs w:val="44"/>
          <w:lang w:val="en-US" w:eastAsia="zh-CN"/>
        </w:rPr>
      </w:pPr>
    </w:p>
    <w:p>
      <w:pPr>
        <w:spacing w:line="590" w:lineRule="exact"/>
        <w:ind w:right="-100" w:rightChars="-50"/>
        <w:jc w:val="center"/>
        <w:rPr>
          <w:rFonts w:hint="eastAsia" w:ascii="方正小标宋简体" w:eastAsia="方正小标宋简体"/>
          <w:b/>
          <w:color w:val="000000"/>
          <w:sz w:val="44"/>
          <w:szCs w:val="44"/>
        </w:rPr>
      </w:pPr>
      <w:r>
        <w:rPr>
          <w:rFonts w:hint="eastAsia" w:ascii="方正小标宋简体" w:eastAsia="方正小标宋简体"/>
          <w:b/>
          <w:color w:val="000000"/>
          <w:sz w:val="44"/>
          <w:szCs w:val="44"/>
          <w:lang w:val="en-US" w:eastAsia="zh-CN"/>
        </w:rPr>
        <w:t>济宁北湖省级旅游度假区农业服务中心</w:t>
      </w:r>
      <w:r>
        <w:rPr>
          <w:rFonts w:hint="eastAsia" w:ascii="方正小标宋简体" w:eastAsia="方正小标宋简体"/>
          <w:b/>
          <w:color w:val="000000"/>
          <w:sz w:val="44"/>
          <w:szCs w:val="44"/>
        </w:rPr>
        <w:t>202</w:t>
      </w:r>
      <w:r>
        <w:rPr>
          <w:rFonts w:hint="eastAsia" w:ascii="方正小标宋简体" w:eastAsia="方正小标宋简体"/>
          <w:b/>
          <w:color w:val="000000"/>
          <w:sz w:val="44"/>
          <w:szCs w:val="44"/>
          <w:lang w:val="en-US" w:eastAsia="zh-CN"/>
        </w:rPr>
        <w:t>2</w:t>
      </w:r>
      <w:r>
        <w:rPr>
          <w:rFonts w:hint="eastAsia" w:ascii="方正小标宋简体" w:eastAsia="方正小标宋简体"/>
          <w:b/>
          <w:color w:val="000000"/>
          <w:sz w:val="44"/>
          <w:szCs w:val="44"/>
        </w:rPr>
        <w:t>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eastAsia="方正仿宋简体" w:cs="Times New Roman"/>
          <w:b/>
          <w:color w:val="00000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eastAsia="方正仿宋简体" w:cs="Times New Roman"/>
          <w:b/>
          <w:color w:val="000000"/>
          <w:sz w:val="32"/>
          <w:szCs w:val="32"/>
          <w:lang w:val="en-US" w:eastAsia="zh-CN" w:bidi="ar-SA"/>
        </w:rPr>
      </w:pPr>
      <w:r>
        <w:rPr>
          <w:rFonts w:hint="eastAsia" w:ascii="方正仿宋简体" w:eastAsia="方正仿宋简体" w:cs="Times New Roman"/>
          <w:b/>
          <w:color w:val="000000"/>
          <w:sz w:val="32"/>
          <w:szCs w:val="32"/>
          <w:lang w:val="en-US" w:eastAsia="zh-CN" w:bidi="ar-SA"/>
        </w:rPr>
        <w:t>本报告由济宁北湖省级旅游度假区农业服务中心按照《中华人民共和国政府信息公开条例》（以下简称《条例》）和《中华人民共和国政府信息公开工作年度报告格式》（国办公开办函〔2021〕30号）要求编制。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eastAsia="方正仿宋简体" w:cs="Times New Roman"/>
          <w:b/>
          <w:color w:val="000000"/>
          <w:sz w:val="32"/>
          <w:szCs w:val="32"/>
          <w:lang w:val="en-US" w:eastAsia="zh-CN" w:bidi="ar-SA"/>
        </w:rPr>
      </w:pPr>
      <w:r>
        <w:rPr>
          <w:rFonts w:hint="eastAsia" w:ascii="方正仿宋简体" w:eastAsia="方正仿宋简体" w:cs="Times New Roman"/>
          <w:b/>
          <w:color w:val="000000"/>
          <w:sz w:val="32"/>
          <w:szCs w:val="32"/>
          <w:lang w:val="en-US" w:eastAsia="zh-CN" w:bidi="ar-SA"/>
        </w:rPr>
        <w:t>本报告内容包括总体情况、主动公开政府信息情况、收到和处理政府信息公开申请情况、政府信息公开行政复议和行政诉讼情况、存在的主要问题及改进情况、其他需要报告的事项等六部分内容。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方正仿宋简体" w:eastAsia="方正仿宋简体" w:cs="Times New Roman"/>
          <w:b/>
          <w:color w:val="000000"/>
          <w:sz w:val="32"/>
          <w:szCs w:val="32"/>
          <w:lang w:val="en-US" w:eastAsia="zh-CN" w:bidi="ar-SA"/>
        </w:rPr>
      </w:pPr>
      <w:r>
        <w:rPr>
          <w:rFonts w:hint="eastAsia" w:ascii="方正仿宋简体" w:eastAsia="方正仿宋简体" w:cs="Times New Roman"/>
          <w:b/>
          <w:color w:val="000000"/>
          <w:sz w:val="32"/>
          <w:szCs w:val="32"/>
          <w:lang w:val="en-US" w:eastAsia="zh-CN" w:bidi="ar-SA"/>
        </w:rPr>
        <w:t>本报告所列数据的统计期限自2022年1月1日起至2022年12月31日止。本报告电子版可在“中国·济宁”政府门户网站（http://bhdjq.jining.gov.cn/）查阅或下载。如对本报告有疑问，请与济宁北湖省级旅游度假区农业服务中心联系（地址：太白湖新区新城发展大厦A座1220，联系电话：0537-3237258）。</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lang w:val="en-US" w:eastAsia="zh-CN"/>
        </w:rPr>
      </w:pPr>
      <w:r>
        <w:rPr>
          <w:rFonts w:hint="eastAsia" w:ascii="方正黑体简体" w:eastAsia="方正黑体简体"/>
          <w:b/>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方正仿宋简体" w:hAnsi="Times New Roman" w:eastAsia="方正仿宋简体" w:cs="Times New Roman"/>
          <w:b/>
          <w:color w:val="000000"/>
          <w:sz w:val="32"/>
          <w:szCs w:val="32"/>
          <w:lang w:val="en-US" w:eastAsia="zh-CN" w:bidi="ar-SA"/>
        </w:rPr>
        <w:t>今年以来，</w:t>
      </w:r>
      <w:r>
        <w:rPr>
          <w:rFonts w:hint="eastAsia" w:ascii="方正仿宋简体" w:eastAsia="方正仿宋简体" w:cs="Times New Roman"/>
          <w:b/>
          <w:color w:val="000000"/>
          <w:sz w:val="32"/>
          <w:szCs w:val="32"/>
          <w:lang w:val="en-US" w:eastAsia="zh-CN" w:bidi="ar-SA"/>
        </w:rPr>
        <w:t>我</w:t>
      </w:r>
      <w:r>
        <w:rPr>
          <w:rFonts w:hint="eastAsia" w:ascii="方正仿宋简体" w:hAnsi="Times New Roman" w:eastAsia="方正仿宋简体" w:cs="Times New Roman"/>
          <w:b/>
          <w:color w:val="000000"/>
          <w:sz w:val="32"/>
          <w:szCs w:val="32"/>
          <w:lang w:val="en-US" w:eastAsia="zh-CN" w:bidi="ar-SA"/>
        </w:rPr>
        <w:t>中心高度重视政府信息公开工作</w:t>
      </w:r>
      <w:r>
        <w:rPr>
          <w:rFonts w:hint="eastAsia" w:ascii="方正仿宋简体" w:eastAsia="方正仿宋简体" w:cs="Times New Roman"/>
          <w:b/>
          <w:color w:val="000000"/>
          <w:sz w:val="32"/>
          <w:szCs w:val="32"/>
          <w:lang w:val="en-US" w:eastAsia="zh-CN" w:bidi="ar-SA"/>
        </w:rPr>
        <w:t>，深入贯彻落实《中华人民共和国政府信息公开条例》</w:t>
      </w:r>
      <w:r>
        <w:rPr>
          <w:rFonts w:hint="eastAsia" w:ascii="仿宋_GB2312" w:hAnsi="仿宋_GB2312" w:eastAsia="仿宋_GB2312" w:cs="仿宋_GB2312"/>
          <w:b/>
          <w:bCs/>
          <w:sz w:val="32"/>
          <w:szCs w:val="32"/>
        </w:rPr>
        <w:t>，完善各项公开制度和工作机制，不断扩大公开范围，细化公开内容，及时准确公开信息，</w:t>
      </w:r>
      <w:r>
        <w:rPr>
          <w:rFonts w:hint="eastAsia" w:ascii="仿宋_GB2312" w:hAnsi="仿宋_GB2312" w:eastAsia="仿宋_GB2312" w:cs="仿宋_GB2312"/>
          <w:b/>
          <w:bCs/>
          <w:sz w:val="32"/>
          <w:szCs w:val="32"/>
          <w:lang w:val="en-US" w:eastAsia="zh-CN"/>
        </w:rPr>
        <w:t>做到</w:t>
      </w:r>
      <w:r>
        <w:rPr>
          <w:rFonts w:hint="eastAsia" w:ascii="仿宋_GB2312" w:hAnsi="仿宋_GB2312" w:eastAsia="仿宋_GB2312" w:cs="仿宋_GB2312"/>
          <w:b/>
          <w:bCs/>
          <w:sz w:val="32"/>
          <w:szCs w:val="32"/>
        </w:rPr>
        <w:t>依法、全面、准确、及时公开。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仿宋简体"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我中心在太白湖新区管委会网站主动公开信息共</w:t>
      </w:r>
      <w:r>
        <w:rPr>
          <w:rFonts w:hint="eastAsia" w:ascii="方正仿宋简体" w:eastAsia="方正仿宋简体" w:cs="Times New Roman"/>
          <w:b/>
          <w:color w:val="000000"/>
          <w:sz w:val="32"/>
          <w:szCs w:val="32"/>
          <w:lang w:val="en-US" w:eastAsia="zh-CN" w:bidi="ar-SA"/>
        </w:rPr>
        <w:t>36</w:t>
      </w:r>
      <w:r>
        <w:rPr>
          <w:rFonts w:hint="eastAsia" w:ascii="方正仿宋简体" w:hAnsi="Times New Roman" w:eastAsia="方正仿宋简体" w:cs="Times New Roman"/>
          <w:b/>
          <w:color w:val="000000"/>
          <w:sz w:val="32"/>
          <w:szCs w:val="32"/>
          <w:lang w:val="en-US" w:eastAsia="zh-CN" w:bidi="ar-SA"/>
        </w:rPr>
        <w:t>条，</w:t>
      </w:r>
      <w:r>
        <w:rPr>
          <w:rFonts w:hint="eastAsia" w:ascii="方正仿宋简体" w:eastAsia="方正仿宋简体" w:cs="Times New Roman"/>
          <w:b/>
          <w:color w:val="000000"/>
          <w:sz w:val="32"/>
          <w:szCs w:val="32"/>
          <w:lang w:val="en-US" w:eastAsia="zh-CN" w:bidi="ar-SA"/>
        </w:rPr>
        <w:t>其中财政预决算4条，政策解读3条，“双随机、一公开”监管3条，涉农补贴17条，其他信息9条。</w:t>
      </w:r>
    </w:p>
    <w:p>
      <w:pPr>
        <w:pStyle w:val="2"/>
        <w:jc w:val="both"/>
        <w:rPr>
          <w:rFonts w:hint="default"/>
          <w:lang w:val="en-US" w:eastAsia="zh-CN"/>
        </w:rPr>
      </w:pPr>
    </w:p>
    <w:p>
      <w:pPr>
        <w:pStyle w:val="2"/>
        <w:jc w:val="center"/>
        <w:rPr>
          <w:rFonts w:hint="default"/>
          <w:lang w:val="en-US"/>
        </w:rPr>
      </w:pPr>
      <w:r>
        <w:rPr>
          <w:rFonts w:hint="default"/>
          <w:lang w:val="en-US" w:eastAsia="zh-CN"/>
        </w:rPr>
        <w:drawing>
          <wp:inline distT="0" distB="0" distL="114300" distR="114300">
            <wp:extent cx="5080000" cy="3810000"/>
            <wp:effectExtent l="4445" t="4445" r="20955" b="52705"/>
            <wp:docPr id="8" name="图表 8" descr="7b0a202020202263686172745265734964223a20223230343730393037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（二）依申请公开情况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方正仿宋简体" w:hAnsi="Times New Roman" w:eastAsia="方正仿宋简体" w:cs="Times New Roman"/>
          <w:b/>
          <w:color w:val="000000"/>
          <w:sz w:val="32"/>
          <w:szCs w:val="32"/>
          <w:lang w:val="en-US" w:eastAsia="zh-CN" w:bidi="ar-SA"/>
        </w:rPr>
        <w:t>2022年，我中心未收到政府信息公开申请。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val="en-US" w:eastAsia="zh-CN"/>
        </w:rPr>
        <w:t>（三）政府信息管理情况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严格落实政务公开责任制，进一步完善信息公开制度，细化信息公开内容，做到责任到岗、任务到人，严格做到“谁主管、谁审核、谁发布、谁负责”的原则，明确专职人员进行信息公开报送，明确政务公开责任追究办法，完善保密审查等程序，完善配套制度，确保政务信息公开成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 xml:space="preserve">  </w:t>
      </w:r>
      <w:r>
        <w:rPr>
          <w:rFonts w:hint="eastAsia" w:ascii="方正楷体简体" w:hAnsi="方正楷体简体" w:eastAsia="方正楷体简体" w:cs="方正楷体简体"/>
          <w:b/>
          <w:bCs/>
          <w:sz w:val="32"/>
          <w:szCs w:val="32"/>
          <w:lang w:val="en-US" w:eastAsia="zh-CN"/>
        </w:rPr>
        <w:t xml:space="preserve">  （四）平台建设情况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及时修订完善网站管理内容保障机制，明确了区农业服务中心信息公开的范围、程序及方式；严格落实上级要求，规范升级政府信息公开专栏，及时调整完善公开事项，切实做好栏目调整，全面落实测评整改工作，建立了本部门主动公开标准目录体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val="en-US"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五</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监督保障</w:t>
      </w:r>
      <w:r>
        <w:rPr>
          <w:rFonts w:hint="eastAsia" w:ascii="方正楷体简体" w:hAnsi="方正楷体简体" w:eastAsia="方正楷体简体" w:cs="方正楷体简体"/>
          <w:b/>
          <w:bCs/>
          <w:sz w:val="32"/>
          <w:szCs w:val="32"/>
          <w:lang w:val="en-US" w:eastAsia="zh-CN"/>
        </w:rPr>
        <w:t>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eastAsia" w:ascii="方正黑体简体" w:eastAsia="方正黑体简体"/>
          <w:b/>
          <w:sz w:val="32"/>
          <w:szCs w:val="32"/>
          <w:lang w:val="en-US" w:eastAsia="zh-CN"/>
        </w:rPr>
      </w:pPr>
      <w:r>
        <w:rPr>
          <w:rFonts w:hint="eastAsia" w:ascii="方正仿宋简体" w:hAnsi="Times New Roman" w:eastAsia="方正仿宋简体" w:cs="Times New Roman"/>
          <w:b/>
          <w:color w:val="000000"/>
          <w:sz w:val="32"/>
          <w:szCs w:val="32"/>
          <w:lang w:val="en-US" w:eastAsia="zh-CN" w:bidi="ar-SA"/>
        </w:rPr>
        <w:t>强化组织领导，成立政务公开领导小组，我中心办公室统筹政府信息公开工作，负责落实政务公开工作的相关运行和保障工作，保证政府信息的收集、发布、日常维护、数据报送等工作落到实处。2022年度，政务公开工作未发生责任追究情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rPr>
      </w:pPr>
      <w:r>
        <w:rPr>
          <w:rFonts w:hint="eastAsia" w:ascii="方正黑体简体" w:eastAsia="方正黑体简体"/>
          <w:b/>
          <w:sz w:val="32"/>
          <w:szCs w:val="32"/>
          <w:lang w:val="en-US" w:eastAsia="zh-CN"/>
        </w:rPr>
        <w:t>二、</w:t>
      </w:r>
      <w:r>
        <w:rPr>
          <w:rFonts w:hint="eastAsia" w:ascii="方正黑体简体" w:eastAsia="方正黑体简体"/>
          <w:b/>
          <w:sz w:val="32"/>
          <w:szCs w:val="32"/>
        </w:rPr>
        <w:t>主动公开政府信息情况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435"/>
        <w:gridCol w:w="2133"/>
        <w:gridCol w:w="2216"/>
        <w:gridCol w:w="1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黑体简体" w:hAnsi="宋体" w:eastAsia="方正黑体简体" w:cs="宋体"/>
                <w:b/>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信息内容</w:t>
            </w:r>
          </w:p>
        </w:tc>
        <w:tc>
          <w:tcPr>
            <w:tcW w:w="2133"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本年制发件数</w:t>
            </w:r>
          </w:p>
        </w:tc>
        <w:tc>
          <w:tcPr>
            <w:tcW w:w="2216"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本年废止件数</w:t>
            </w:r>
          </w:p>
        </w:tc>
        <w:tc>
          <w:tcPr>
            <w:tcW w:w="1989"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规章</w:t>
            </w:r>
          </w:p>
        </w:tc>
        <w:tc>
          <w:tcPr>
            <w:tcW w:w="2133"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行政规范性文件</w:t>
            </w:r>
          </w:p>
        </w:tc>
        <w:tc>
          <w:tcPr>
            <w:tcW w:w="2133"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c>
          <w:tcPr>
            <w:tcW w:w="2216"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c>
          <w:tcPr>
            <w:tcW w:w="1989"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黑体简体" w:hAnsi="宋体" w:eastAsia="方正黑体简体" w:cs="宋体"/>
                <w:b/>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行政许可</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Calibri" w:eastAsia="方正仿宋简体" w:cs="Calibri"/>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黑体简体" w:hAnsi="宋体" w:eastAsia="方正黑体简体" w:cs="宋体"/>
                <w:b/>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行政处罚</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行政强制</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val="en-US" w:eastAsia="zh-CN"/>
              </w:rPr>
            </w:pPr>
            <w:r>
              <w:rPr>
                <w:rFonts w:hint="eastAsia" w:ascii="方正仿宋简体" w:hAnsi="宋体" w:eastAsia="方正仿宋简体" w:cs="宋体"/>
                <w:b/>
                <w:sz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8773" w:type="dxa"/>
            <w:gridSpan w:val="4"/>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黑体简体" w:hAnsi="宋体" w:eastAsia="方正黑体简体" w:cs="宋体"/>
                <w:b/>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rPr>
            </w:pPr>
            <w:r>
              <w:rPr>
                <w:rFonts w:hint="eastAsia" w:ascii="方正仿宋简体" w:hAnsi="宋体" w:eastAsia="方正仿宋简体" w:cs="宋体"/>
                <w:b/>
                <w:sz w:val="24"/>
                <w:lang w:bidi="ar"/>
              </w:rPr>
              <w:t>信息内容</w:t>
            </w:r>
          </w:p>
        </w:tc>
        <w:tc>
          <w:tcPr>
            <w:tcW w:w="6338" w:type="dxa"/>
            <w:gridSpan w:val="3"/>
            <w:shd w:val="clear" w:color="auto" w:fill="FFFFFF"/>
            <w:noWrap w:val="0"/>
            <w:tcMar>
              <w:left w:w="57" w:type="dxa"/>
              <w:right w:w="57" w:type="dxa"/>
            </w:tcMar>
            <w:vAlign w:val="center"/>
          </w:tcPr>
          <w:p>
            <w:pPr>
              <w:widowControl/>
              <w:spacing w:line="340" w:lineRule="exact"/>
              <w:jc w:val="center"/>
              <w:rPr>
                <w:rFonts w:hint="default" w:ascii="Arial" w:hAnsi="Arial" w:eastAsia="Arial Unicode MS" w:cs="Arial"/>
                <w:b w:val="0"/>
                <w:bCs/>
                <w:sz w:val="24"/>
                <w:szCs w:val="24"/>
                <w:lang w:eastAsia="zh-CN"/>
              </w:rPr>
            </w:pPr>
            <w:r>
              <w:rPr>
                <w:rFonts w:hint="eastAsia" w:ascii="方正仿宋简体" w:hAnsi="宋体" w:eastAsia="方正仿宋简体" w:cs="宋体"/>
                <w:b/>
                <w:sz w:val="24"/>
                <w:lang w:bidi="ar"/>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2435" w:type="dxa"/>
            <w:shd w:val="clear" w:color="auto" w:fill="FFFFFF"/>
            <w:noWrap w:val="0"/>
            <w:tcMar>
              <w:left w:w="57" w:type="dxa"/>
              <w:right w:w="57" w:type="dxa"/>
            </w:tcMar>
            <w:vAlign w:val="center"/>
          </w:tcPr>
          <w:p>
            <w:pPr>
              <w:widowControl/>
              <w:spacing w:line="340" w:lineRule="exact"/>
              <w:jc w:val="left"/>
              <w:rPr>
                <w:rFonts w:hint="default" w:ascii="Arial" w:hAnsi="Arial" w:eastAsia="Arial Unicode MS" w:cs="Arial"/>
                <w:b w:val="0"/>
                <w:bCs/>
                <w:sz w:val="24"/>
                <w:szCs w:val="24"/>
              </w:rPr>
            </w:pPr>
            <w:r>
              <w:rPr>
                <w:rFonts w:hint="eastAsia" w:ascii="方正仿宋简体" w:hAnsi="宋体" w:eastAsia="方正仿宋简体" w:cs="宋体"/>
                <w:b/>
                <w:sz w:val="24"/>
                <w:lang w:bidi="ar"/>
              </w:rPr>
              <w:t>行政事业性收费</w:t>
            </w:r>
          </w:p>
        </w:tc>
        <w:tc>
          <w:tcPr>
            <w:tcW w:w="6338" w:type="dxa"/>
            <w:gridSpan w:val="3"/>
            <w:shd w:val="clear" w:color="auto" w:fill="FFFFFF"/>
            <w:noWrap w:val="0"/>
            <w:tcMar>
              <w:left w:w="57" w:type="dxa"/>
              <w:right w:w="57" w:type="dxa"/>
            </w:tcMar>
            <w:vAlign w:val="center"/>
          </w:tcPr>
          <w:p>
            <w:pPr>
              <w:spacing w:line="340" w:lineRule="exact"/>
              <w:jc w:val="center"/>
              <w:rPr>
                <w:rFonts w:hint="default" w:ascii="Arial" w:hAnsi="Arial" w:eastAsia="Arial Unicode MS" w:cs="Arial"/>
                <w:b w:val="0"/>
                <w:bCs/>
                <w:sz w:val="24"/>
                <w:szCs w:val="24"/>
                <w:lang w:val="en-US" w:eastAsia="zh-CN"/>
              </w:rPr>
            </w:pPr>
            <w:r>
              <w:rPr>
                <w:rFonts w:hint="eastAsia" w:ascii="方正仿宋简体" w:eastAsia="方正仿宋简体"/>
                <w:b/>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rPr>
      </w:pPr>
      <w:r>
        <w:rPr>
          <w:rFonts w:hint="eastAsia" w:ascii="方正黑体简体" w:eastAsia="方正黑体简体"/>
          <w:b/>
          <w:sz w:val="32"/>
          <w:szCs w:val="32"/>
        </w:rPr>
        <w:t>三、收到和处理政府信息公开申请情况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8"/>
        <w:gridCol w:w="942"/>
        <w:gridCol w:w="2878"/>
        <w:gridCol w:w="791"/>
        <w:gridCol w:w="599"/>
        <w:gridCol w:w="590"/>
        <w:gridCol w:w="598"/>
        <w:gridCol w:w="571"/>
        <w:gridCol w:w="559"/>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restart"/>
            <w:noWrap w:val="0"/>
            <w:tcMar>
              <w:left w:w="108" w:type="dxa"/>
              <w:right w:w="108" w:type="dxa"/>
            </w:tcMar>
            <w:vAlign w:val="center"/>
          </w:tcPr>
          <w:p>
            <w:pPr>
              <w:widowControl/>
              <w:spacing w:line="300" w:lineRule="exact"/>
              <w:jc w:val="center"/>
              <w:rPr>
                <w:rFonts w:hint="default" w:ascii="Arial" w:hAnsi="Arial" w:eastAsia="方正黑体简体" w:cs="Arial"/>
                <w:b/>
                <w:sz w:val="24"/>
                <w:szCs w:val="24"/>
                <w:lang w:eastAsia="zh-CN"/>
              </w:rPr>
            </w:pPr>
            <w:r>
              <w:rPr>
                <w:rFonts w:hint="default" w:ascii="Arial" w:hAnsi="Arial" w:eastAsia="方正黑体简体" w:cs="Arial"/>
                <w:b/>
                <w:sz w:val="24"/>
                <w:szCs w:val="24"/>
                <w:lang w:eastAsia="zh-CN" w:bidi="ar"/>
              </w:rPr>
              <w:t>（</w:t>
            </w:r>
            <w:r>
              <w:rPr>
                <w:rFonts w:hint="default" w:ascii="Arial" w:hAnsi="Arial" w:eastAsia="方正黑体简体" w:cs="Arial"/>
                <w:b/>
                <w:sz w:val="24"/>
                <w:szCs w:val="24"/>
                <w:lang w:bidi="ar"/>
              </w:rPr>
              <w:t>本列数据的勾稽关系为：第一项加第二项之和，等于第三项加第四项之和</w:t>
            </w:r>
            <w:r>
              <w:rPr>
                <w:rFonts w:hint="default" w:ascii="Arial" w:hAnsi="Arial" w:eastAsia="方正黑体简体" w:cs="Arial"/>
                <w:b/>
                <w:sz w:val="24"/>
                <w:szCs w:val="24"/>
                <w:lang w:eastAsia="zh-CN" w:bidi="ar"/>
              </w:rPr>
              <w:t>）</w:t>
            </w:r>
          </w:p>
        </w:tc>
        <w:tc>
          <w:tcPr>
            <w:tcW w:w="4229" w:type="dxa"/>
            <w:gridSpan w:val="7"/>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jc w:val="center"/>
              <w:rPr>
                <w:rFonts w:hint="default" w:ascii="Arial" w:hAnsi="Arial" w:eastAsia="方正黑体简体" w:cs="Arial"/>
                <w:b/>
                <w:sz w:val="24"/>
                <w:szCs w:val="24"/>
              </w:rPr>
            </w:pPr>
          </w:p>
        </w:tc>
        <w:tc>
          <w:tcPr>
            <w:tcW w:w="791" w:type="dxa"/>
            <w:vMerge w:val="restart"/>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自然人</w:t>
            </w:r>
          </w:p>
        </w:tc>
        <w:tc>
          <w:tcPr>
            <w:tcW w:w="2917" w:type="dxa"/>
            <w:gridSpan w:val="5"/>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法人或其他组织</w:t>
            </w:r>
          </w:p>
        </w:tc>
        <w:tc>
          <w:tcPr>
            <w:tcW w:w="521" w:type="dxa"/>
            <w:vMerge w:val="restart"/>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vMerge w:val="continue"/>
            <w:noWrap w:val="0"/>
            <w:tcMar>
              <w:left w:w="108" w:type="dxa"/>
              <w:right w:w="108" w:type="dxa"/>
            </w:tcMar>
            <w:vAlign w:val="center"/>
          </w:tcPr>
          <w:p>
            <w:pPr>
              <w:spacing w:line="300" w:lineRule="exact"/>
              <w:rPr>
                <w:rFonts w:hint="default" w:ascii="Arial" w:hAnsi="Arial" w:eastAsia="方正仿宋简体" w:cs="Arial"/>
                <w:b/>
                <w:sz w:val="24"/>
                <w:szCs w:val="24"/>
              </w:rPr>
            </w:pPr>
          </w:p>
        </w:tc>
        <w:tc>
          <w:tcPr>
            <w:tcW w:w="791"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599" w:type="dxa"/>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商业</w:t>
            </w:r>
          </w:p>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企业</w:t>
            </w:r>
          </w:p>
        </w:tc>
        <w:tc>
          <w:tcPr>
            <w:tcW w:w="590" w:type="dxa"/>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科研</w:t>
            </w:r>
          </w:p>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机构</w:t>
            </w:r>
          </w:p>
        </w:tc>
        <w:tc>
          <w:tcPr>
            <w:tcW w:w="598" w:type="dxa"/>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社会公益组织</w:t>
            </w:r>
          </w:p>
        </w:tc>
        <w:tc>
          <w:tcPr>
            <w:tcW w:w="571" w:type="dxa"/>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法律服务机构</w:t>
            </w:r>
          </w:p>
        </w:tc>
        <w:tc>
          <w:tcPr>
            <w:tcW w:w="559" w:type="dxa"/>
            <w:noWrap w:val="0"/>
            <w:tcMar>
              <w:left w:w="57" w:type="dxa"/>
              <w:right w:w="57" w:type="dxa"/>
            </w:tcMar>
            <w:vAlign w:val="center"/>
          </w:tcPr>
          <w:p>
            <w:pPr>
              <w:widowControl/>
              <w:spacing w:line="300" w:lineRule="exact"/>
              <w:jc w:val="center"/>
              <w:rPr>
                <w:rFonts w:hint="default" w:ascii="Arial" w:hAnsi="Arial" w:eastAsia="方正黑体简体" w:cs="Arial"/>
                <w:b/>
                <w:sz w:val="24"/>
                <w:szCs w:val="24"/>
              </w:rPr>
            </w:pPr>
            <w:r>
              <w:rPr>
                <w:rFonts w:hint="default" w:ascii="Arial" w:hAnsi="Arial" w:eastAsia="方正黑体简体" w:cs="Arial"/>
                <w:b/>
                <w:sz w:val="24"/>
                <w:szCs w:val="24"/>
                <w:lang w:bidi="ar"/>
              </w:rPr>
              <w:t>其他</w:t>
            </w:r>
          </w:p>
        </w:tc>
        <w:tc>
          <w:tcPr>
            <w:tcW w:w="521"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4588" w:type="dxa"/>
            <w:gridSpan w:val="3"/>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一、本年新收政府信息公开申请数量</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jc w:val="center"/>
        </w:trPr>
        <w:tc>
          <w:tcPr>
            <w:tcW w:w="4588" w:type="dxa"/>
            <w:gridSpan w:val="3"/>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二、上年结转政府信息公开申请数量</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三、本年度办理结果</w:t>
            </w:r>
          </w:p>
        </w:tc>
        <w:tc>
          <w:tcPr>
            <w:tcW w:w="3820" w:type="dxa"/>
            <w:gridSpan w:val="2"/>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一</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予以公开</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3820" w:type="dxa"/>
            <w:gridSpan w:val="2"/>
            <w:noWrap w:val="0"/>
            <w:tcMar>
              <w:left w:w="57" w:type="dxa"/>
              <w:right w:w="57" w:type="dxa"/>
            </w:tcMar>
            <w:vAlign w:val="center"/>
          </w:tcPr>
          <w:p>
            <w:pPr>
              <w:widowControl/>
              <w:spacing w:line="300" w:lineRule="exact"/>
              <w:jc w:val="left"/>
              <w:rPr>
                <w:rFonts w:hint="default" w:ascii="Arial" w:hAnsi="Arial" w:eastAsia="方正仿宋简体" w:cs="Arial"/>
                <w:b/>
                <w:sz w:val="24"/>
                <w:szCs w:val="24"/>
                <w:lang w:eastAsia="zh-CN"/>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二</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部分公开</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区分处理的，只计这一情形，不计其他情形</w:t>
            </w:r>
            <w:r>
              <w:rPr>
                <w:rFonts w:hint="default" w:ascii="Arial" w:hAnsi="Arial" w:eastAsia="方正仿宋简体" w:cs="Arial"/>
                <w:b/>
                <w:sz w:val="24"/>
                <w:szCs w:val="24"/>
                <w:lang w:eastAsia="zh-CN" w:bidi="ar"/>
              </w:rPr>
              <w:t>）</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restart"/>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三</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不予公开</w:t>
            </w: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1.属于国家秘密</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2.其他法律行政法规禁止公开</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3.危及“三安全一稳定”</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4.保护第三方合法权益</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5.属于三类内部事务信息</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6.属于四类过程性信息</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7.属于行政执法案卷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8.属于行政查询事项</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restart"/>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四</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无法提供</w:t>
            </w: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1.本机关不掌握相关政府信息</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2.没有现成信息需要另行制作</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3.补正后申请内容仍不明确</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restart"/>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restart"/>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五</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不予处理</w:t>
            </w: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1.信访举报投诉类申请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2.重复申请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3.要求提供公开出版物</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top"/>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4.无正当理由大量反复申请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4"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center"/>
          </w:tcPr>
          <w:p>
            <w:pPr>
              <w:widowControl/>
              <w:spacing w:line="300" w:lineRule="exact"/>
              <w:rPr>
                <w:rFonts w:hint="default" w:ascii="Arial" w:hAnsi="Arial" w:eastAsia="方正仿宋简体" w:cs="Arial"/>
                <w:b/>
                <w:sz w:val="24"/>
                <w:szCs w:val="24"/>
              </w:rPr>
            </w:pPr>
            <w:r>
              <w:rPr>
                <w:rFonts w:hint="default" w:ascii="Arial" w:hAnsi="Arial" w:eastAsia="方正仿宋简体" w:cs="Arial"/>
                <w:b/>
                <w:sz w:val="24"/>
                <w:szCs w:val="24"/>
                <w:lang w:bidi="ar"/>
              </w:rPr>
              <w:t>5.要求行政机关确认或重新出具已获取信息</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5" w:hRule="atLeast"/>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restart"/>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六</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其他处理</w:t>
            </w:r>
          </w:p>
        </w:tc>
        <w:tc>
          <w:tcPr>
            <w:tcW w:w="2878" w:type="dxa"/>
            <w:noWrap w:val="0"/>
            <w:tcMar>
              <w:left w:w="57" w:type="dxa"/>
              <w:right w:w="57" w:type="dxa"/>
            </w:tcMar>
            <w:vAlign w:val="center"/>
          </w:tcPr>
          <w:p>
            <w:pPr>
              <w:widowControl/>
              <w:spacing w:line="300" w:lineRule="exact"/>
              <w:rPr>
                <w:rFonts w:hint="default" w:ascii="Arial" w:hAnsi="Arial" w:eastAsia="方正仿宋简体" w:cs="Arial"/>
                <w:b/>
                <w:sz w:val="24"/>
                <w:szCs w:val="24"/>
              </w:rPr>
            </w:pPr>
            <w:r>
              <w:rPr>
                <w:rFonts w:hint="default" w:ascii="Arial" w:hAnsi="Arial" w:eastAsia="方正仿宋简体" w:cs="Arial"/>
                <w:b/>
                <w:sz w:val="24"/>
                <w:szCs w:val="24"/>
                <w:lang w:bidi="ar"/>
              </w:rPr>
              <w:t>1.申请人无正当理由逾期不补正、行政机关不再处理其政府信息公开申请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center"/>
          </w:tcPr>
          <w:p>
            <w:pPr>
              <w:widowControl/>
              <w:spacing w:line="300" w:lineRule="exact"/>
              <w:rPr>
                <w:rFonts w:hint="default" w:ascii="Arial" w:hAnsi="Arial" w:eastAsia="方正仿宋简体" w:cs="Arial"/>
                <w:b/>
                <w:sz w:val="24"/>
                <w:szCs w:val="24"/>
              </w:rPr>
            </w:pPr>
            <w:r>
              <w:rPr>
                <w:rFonts w:hint="default" w:ascii="Arial" w:hAnsi="Arial" w:eastAsia="方正仿宋简体" w:cs="Arial"/>
                <w:b/>
                <w:sz w:val="24"/>
                <w:szCs w:val="24"/>
                <w:lang w:bidi="ar"/>
              </w:rPr>
              <w:t>2.申请人逾期未按收费通知要求缴纳费用、行政机关不再处理其政府信息公开申请</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942"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2878" w:type="dxa"/>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3.其他</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kern w:val="2"/>
                <w:sz w:val="24"/>
                <w:szCs w:val="24"/>
                <w:lang w:val="en-US" w:eastAsia="zh-CN" w:bidi="ar-SA"/>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768" w:type="dxa"/>
            <w:vMerge w:val="continue"/>
            <w:noWrap w:val="0"/>
            <w:tcMar>
              <w:left w:w="57" w:type="dxa"/>
              <w:right w:w="57" w:type="dxa"/>
            </w:tcMar>
            <w:vAlign w:val="center"/>
          </w:tcPr>
          <w:p>
            <w:pPr>
              <w:spacing w:line="300" w:lineRule="exact"/>
              <w:rPr>
                <w:rFonts w:hint="default" w:ascii="Arial" w:hAnsi="Arial" w:eastAsia="方正仿宋简体" w:cs="Arial"/>
                <w:b/>
                <w:sz w:val="24"/>
                <w:szCs w:val="24"/>
              </w:rPr>
            </w:pPr>
          </w:p>
        </w:tc>
        <w:tc>
          <w:tcPr>
            <w:tcW w:w="3820" w:type="dxa"/>
            <w:gridSpan w:val="2"/>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七</w:t>
            </w:r>
            <w:r>
              <w:rPr>
                <w:rFonts w:hint="default" w:ascii="Arial" w:hAnsi="Arial" w:eastAsia="方正仿宋简体" w:cs="Arial"/>
                <w:b/>
                <w:sz w:val="24"/>
                <w:szCs w:val="24"/>
                <w:lang w:eastAsia="zh-CN" w:bidi="ar"/>
              </w:rPr>
              <w:t>）</w:t>
            </w:r>
            <w:r>
              <w:rPr>
                <w:rFonts w:hint="default" w:ascii="Arial" w:hAnsi="Arial" w:eastAsia="方正仿宋简体" w:cs="Arial"/>
                <w:b/>
                <w:sz w:val="24"/>
                <w:szCs w:val="24"/>
                <w:lang w:bidi="ar"/>
              </w:rPr>
              <w:t>总计</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588" w:type="dxa"/>
            <w:gridSpan w:val="3"/>
            <w:noWrap w:val="0"/>
            <w:tcMar>
              <w:left w:w="57" w:type="dxa"/>
              <w:right w:w="57" w:type="dxa"/>
            </w:tcMar>
            <w:vAlign w:val="center"/>
          </w:tcPr>
          <w:p>
            <w:pPr>
              <w:widowControl/>
              <w:spacing w:line="300" w:lineRule="exact"/>
              <w:jc w:val="left"/>
              <w:rPr>
                <w:rFonts w:hint="default" w:ascii="Arial" w:hAnsi="Arial" w:eastAsia="方正仿宋简体" w:cs="Arial"/>
                <w:b/>
                <w:sz w:val="24"/>
                <w:szCs w:val="24"/>
              </w:rPr>
            </w:pPr>
            <w:r>
              <w:rPr>
                <w:rFonts w:hint="default" w:ascii="Arial" w:hAnsi="Arial" w:eastAsia="方正仿宋简体" w:cs="Arial"/>
                <w:b/>
                <w:sz w:val="24"/>
                <w:szCs w:val="24"/>
                <w:lang w:bidi="ar"/>
              </w:rPr>
              <w:t>四、结转下年度继续办理</w:t>
            </w:r>
          </w:p>
        </w:tc>
        <w:tc>
          <w:tcPr>
            <w:tcW w:w="79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90"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98"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bidi="ar"/>
              </w:rPr>
              <w:t>0</w:t>
            </w:r>
          </w:p>
        </w:tc>
        <w:tc>
          <w:tcPr>
            <w:tcW w:w="571"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59" w:type="dxa"/>
            <w:noWrap w:val="0"/>
            <w:tcMar>
              <w:left w:w="57" w:type="dxa"/>
              <w:right w:w="57" w:type="dxa"/>
            </w:tcMar>
            <w:vAlign w:val="center"/>
          </w:tcPr>
          <w:p>
            <w:pPr>
              <w:widowControl/>
              <w:spacing w:line="300" w:lineRule="exact"/>
              <w:jc w:val="center"/>
              <w:rPr>
                <w:rFonts w:hint="default" w:ascii="Arial" w:hAnsi="Arial" w:eastAsia="方正仿宋简体" w:cs="Arial"/>
                <w:b/>
                <w:sz w:val="24"/>
                <w:szCs w:val="24"/>
              </w:rPr>
            </w:pPr>
            <w:r>
              <w:rPr>
                <w:rFonts w:hint="default" w:ascii="Arial" w:hAnsi="Arial" w:eastAsia="方正仿宋简体" w:cs="Arial"/>
                <w:b/>
                <w:sz w:val="24"/>
                <w:szCs w:val="24"/>
                <w:lang w:val="en-US" w:eastAsia="zh-CN" w:bidi="ar"/>
              </w:rPr>
              <w:t>0</w:t>
            </w:r>
          </w:p>
        </w:tc>
        <w:tc>
          <w:tcPr>
            <w:tcW w:w="521" w:type="dxa"/>
            <w:noWrap w:val="0"/>
            <w:tcMar>
              <w:left w:w="57" w:type="dxa"/>
              <w:right w:w="57" w:type="dxa"/>
            </w:tcMar>
            <w:vAlign w:val="center"/>
          </w:tcPr>
          <w:p>
            <w:pPr>
              <w:spacing w:line="300" w:lineRule="exact"/>
              <w:jc w:val="center"/>
              <w:rPr>
                <w:rFonts w:hint="default" w:ascii="Arial" w:hAnsi="Arial" w:eastAsia="方正仿宋简体" w:cs="Arial"/>
                <w:b/>
                <w:sz w:val="24"/>
                <w:szCs w:val="24"/>
                <w:lang w:val="en-US" w:eastAsia="zh-CN"/>
              </w:rPr>
            </w:pPr>
            <w:r>
              <w:rPr>
                <w:rFonts w:hint="default" w:ascii="Arial" w:hAnsi="Arial" w:eastAsia="方正仿宋简体" w:cs="Arial"/>
                <w:b/>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ascii="方正黑体简体" w:eastAsia="方正黑体简体"/>
          <w:b/>
          <w:sz w:val="32"/>
          <w:szCs w:val="32"/>
        </w:rPr>
      </w:pPr>
      <w:r>
        <w:rPr>
          <w:rFonts w:hint="eastAsia" w:ascii="方正黑体简体" w:eastAsia="方正黑体简体"/>
          <w:b/>
          <w:sz w:val="32"/>
          <w:szCs w:val="32"/>
        </w:rPr>
        <w:t>四、政府信息公开行政复议、行政诉讼情况</w:t>
      </w:r>
    </w:p>
    <w:tbl>
      <w:tblPr>
        <w:tblStyle w:val="5"/>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5"/>
        <w:gridCol w:w="621"/>
        <w:gridCol w:w="600"/>
        <w:gridCol w:w="591"/>
        <w:gridCol w:w="461"/>
        <w:gridCol w:w="649"/>
        <w:gridCol w:w="649"/>
        <w:gridCol w:w="650"/>
        <w:gridCol w:w="636"/>
        <w:gridCol w:w="426"/>
        <w:gridCol w:w="650"/>
        <w:gridCol w:w="650"/>
        <w:gridCol w:w="650"/>
        <w:gridCol w:w="555"/>
        <w:gridCol w:w="407"/>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8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行政复议</w:t>
            </w:r>
          </w:p>
        </w:tc>
        <w:tc>
          <w:tcPr>
            <w:tcW w:w="5922"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结果维持</w:t>
            </w:r>
          </w:p>
        </w:tc>
        <w:tc>
          <w:tcPr>
            <w:tcW w:w="621"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hAnsi="宋体" w:eastAsia="方正黑体简体" w:cs="宋体"/>
                <w:b/>
                <w:sz w:val="21"/>
                <w:szCs w:val="21"/>
                <w:lang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00"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59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61"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301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未经复议直接起诉</w:t>
            </w:r>
          </w:p>
        </w:tc>
        <w:tc>
          <w:tcPr>
            <w:tcW w:w="2912"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15"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21"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0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59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461"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rPr>
                <w:rFonts w:ascii="方正黑体简体" w:eastAsia="方正黑体简体"/>
                <w:b/>
                <w:sz w:val="21"/>
                <w:szCs w:val="21"/>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63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26"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结果</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其他</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结果</w:t>
            </w:r>
          </w:p>
        </w:tc>
        <w:tc>
          <w:tcPr>
            <w:tcW w:w="555"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hAnsi="宋体" w:eastAsia="方正黑体简体" w:cs="宋体"/>
                <w:b/>
                <w:sz w:val="21"/>
                <w:szCs w:val="21"/>
                <w:lang w:eastAsia="zh-CN" w:bidi="ar"/>
              </w:rPr>
            </w:pPr>
            <w:r>
              <w:rPr>
                <w:rFonts w:hint="eastAsia" w:ascii="方正黑体简体" w:hAnsi="宋体" w:eastAsia="方正黑体简体" w:cs="宋体"/>
                <w:b/>
                <w:sz w:val="21"/>
                <w:szCs w:val="21"/>
                <w:lang w:bidi="ar"/>
              </w:rPr>
              <w:t>尚未</w:t>
            </w:r>
          </w:p>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审结</w:t>
            </w:r>
          </w:p>
        </w:tc>
        <w:tc>
          <w:tcPr>
            <w:tcW w:w="407"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宋体"/>
                <w:b/>
                <w:sz w:val="21"/>
                <w:szCs w:val="21"/>
                <w:lang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7" w:hRule="atLeast"/>
          <w:jc w:val="center"/>
        </w:trPr>
        <w:tc>
          <w:tcPr>
            <w:tcW w:w="61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2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0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59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46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3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426"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555"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spacing w:line="340" w:lineRule="exact"/>
              <w:ind w:left="-40" w:leftChars="-20" w:right="-40" w:rightChars="-20"/>
              <w:jc w:val="center"/>
              <w:rPr>
                <w:rFonts w:ascii="方正黑体简体" w:eastAsia="方正黑体简体"/>
                <w:b/>
                <w:sz w:val="21"/>
                <w:szCs w:val="21"/>
              </w:rPr>
            </w:pPr>
            <w:r>
              <w:rPr>
                <w:rFonts w:hint="eastAsia" w:ascii="方正黑体简体" w:hAnsi="宋体" w:eastAsia="方正黑体简体" w:cs="黑体"/>
                <w:b/>
                <w:sz w:val="21"/>
                <w:szCs w:val="21"/>
                <w:lang w:val="en-US" w:eastAsia="zh-CN" w:bidi="ar"/>
              </w:rPr>
              <w:t>0</w:t>
            </w:r>
          </w:p>
        </w:tc>
        <w:tc>
          <w:tcPr>
            <w:tcW w:w="407" w:type="dxa"/>
            <w:tcBorders>
              <w:top w:val="nil"/>
              <w:left w:val="single" w:color="auto" w:sz="8" w:space="0"/>
              <w:bottom w:val="single" w:color="auto" w:sz="8" w:space="0"/>
              <w:right w:val="single" w:color="auto" w:sz="8" w:space="0"/>
            </w:tcBorders>
            <w:noWrap w:val="0"/>
            <w:tcMar>
              <w:left w:w="108" w:type="dxa"/>
              <w:right w:w="108" w:type="dxa"/>
            </w:tcMar>
            <w:vAlign w:val="center"/>
          </w:tcPr>
          <w:p>
            <w:pPr>
              <w:spacing w:line="340" w:lineRule="exact"/>
              <w:ind w:left="-40" w:leftChars="-20" w:right="-40" w:rightChars="-20"/>
              <w:jc w:val="center"/>
              <w:rPr>
                <w:rFonts w:hint="eastAsia" w:ascii="方正黑体简体" w:eastAsia="方正黑体简体"/>
                <w:b/>
                <w:sz w:val="21"/>
                <w:szCs w:val="21"/>
                <w:lang w:val="en-US" w:eastAsia="zh-CN"/>
              </w:rPr>
            </w:pPr>
            <w:r>
              <w:rPr>
                <w:rFonts w:hint="eastAsia" w:ascii="方正黑体简体" w:eastAsia="方正黑体简体"/>
                <w:b/>
                <w:sz w:val="21"/>
                <w:szCs w:val="21"/>
                <w:lang w:val="en-US" w:eastAsia="zh-CN"/>
              </w:rPr>
              <w:t>0</w:t>
            </w:r>
          </w:p>
        </w:tc>
      </w:tr>
    </w:tbl>
    <w:p>
      <w:pPr>
        <w:pStyle w:val="2"/>
        <w:numPr>
          <w:ilvl w:val="0"/>
          <w:numId w:val="0"/>
        </w:numPr>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lang w:val="en-US" w:eastAsia="zh-CN"/>
        </w:rPr>
      </w:pPr>
      <w:r>
        <w:rPr>
          <w:rFonts w:hint="eastAsia" w:ascii="方正黑体简体" w:eastAsia="方正黑体简体"/>
          <w:b/>
          <w:sz w:val="32"/>
          <w:szCs w:val="32"/>
          <w:lang w:val="en-US" w:eastAsia="zh-CN"/>
        </w:rPr>
        <w:t>五、存在的主要问题及改进情况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一是相关制度规范尚不健全，主动公开力度不够；二是政务公开工作力量相对薄弱，存在信息公开不全面、不及时、部分信息质量不高等问题。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5"/>
        <w:jc w:val="left"/>
        <w:textAlignment w:val="auto"/>
        <w:rPr>
          <w:rFonts w:hint="eastAsia"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2023年，我中心将严格贯彻落关于政府信息公开工作的各项要求，严格对照目录标准公开，真正做到应公开尽公开。加强人员培训，提升实际工作水平，严谨细致地做好我中心政府信息公开工作，确保我中心政务信息及时、完整、准确发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3" w:firstLineChars="200"/>
        <w:textAlignment w:val="auto"/>
        <w:rPr>
          <w:rFonts w:hint="eastAsia" w:ascii="方正黑体简体" w:eastAsia="方正黑体简体"/>
          <w:b/>
          <w:sz w:val="32"/>
          <w:szCs w:val="32"/>
          <w:lang w:val="en-US" w:eastAsia="zh-CN"/>
        </w:rPr>
      </w:pPr>
      <w:r>
        <w:rPr>
          <w:rFonts w:hint="eastAsia" w:ascii="方正黑体简体" w:eastAsia="方正黑体简体"/>
          <w:b/>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val="en-US" w:eastAsia="zh-CN"/>
        </w:rPr>
        <w:t>（一）</w:t>
      </w:r>
      <w:r>
        <w:rPr>
          <w:rFonts w:hint="eastAsia" w:ascii="方正楷体简体" w:hAnsi="方正楷体简体" w:eastAsia="方正楷体简体" w:cs="方正楷体简体"/>
          <w:b/>
          <w:bCs/>
          <w:sz w:val="32"/>
          <w:szCs w:val="32"/>
        </w:rPr>
        <w:t>依据《政府信息公开信息处理费管理办法》收取信息处理费的情况</w:t>
      </w:r>
    </w:p>
    <w:p>
      <w:pPr>
        <w:keepNext w:val="0"/>
        <w:keepLines w:val="0"/>
        <w:pageBreakBefore w:val="0"/>
        <w:kinsoku/>
        <w:wordWrap/>
        <w:overflowPunct/>
        <w:topLinePunct w:val="0"/>
        <w:autoSpaceDE/>
        <w:autoSpaceDN/>
        <w:bidi w:val="0"/>
        <w:adjustRightInd/>
        <w:snapToGrid/>
        <w:spacing w:line="600" w:lineRule="exact"/>
        <w:ind w:right="-100" w:rightChars="-50" w:firstLine="643" w:firstLineChars="200"/>
        <w:textAlignment w:val="auto"/>
        <w:rPr>
          <w:rFonts w:hint="eastAsia" w:ascii="方正仿宋简体" w:eastAsia="方正仿宋简体"/>
          <w:b/>
          <w:color w:val="000000"/>
          <w:sz w:val="32"/>
          <w:szCs w:val="32"/>
          <w:lang w:val="en-US" w:eastAsia="zh-CN"/>
        </w:rPr>
      </w:pPr>
      <w:r>
        <w:rPr>
          <w:rFonts w:hint="eastAsia" w:ascii="方正仿宋简体" w:eastAsia="方正仿宋简体"/>
          <w:b/>
          <w:color w:val="000000"/>
          <w:sz w:val="32"/>
          <w:szCs w:val="32"/>
          <w:lang w:val="en-US" w:eastAsia="zh-CN"/>
        </w:rPr>
        <w:t>2022年，我中心依据《政府信息公开信息处理费管理办法》，没有收取任何信息处理费用。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二</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落实上级年度政务公开工作要点情况</w:t>
      </w:r>
    </w:p>
    <w:p>
      <w:pPr>
        <w:keepNext w:val="0"/>
        <w:keepLines w:val="0"/>
        <w:pageBreakBefore w:val="0"/>
        <w:kinsoku/>
        <w:wordWrap/>
        <w:overflowPunct/>
        <w:topLinePunct w:val="0"/>
        <w:autoSpaceDE/>
        <w:autoSpaceDN/>
        <w:bidi w:val="0"/>
        <w:adjustRightInd/>
        <w:snapToGrid/>
        <w:spacing w:line="600" w:lineRule="exact"/>
        <w:ind w:right="-100" w:rightChars="-50" w:firstLine="643" w:firstLineChars="200"/>
        <w:textAlignment w:val="auto"/>
        <w:rPr>
          <w:rFonts w:hint="eastAsia" w:ascii="方正仿宋简体" w:eastAsia="方正仿宋简体"/>
          <w:b/>
          <w:color w:val="000000"/>
          <w:sz w:val="32"/>
          <w:szCs w:val="32"/>
          <w:lang w:eastAsia="zh-CN"/>
        </w:rPr>
      </w:pPr>
      <w:r>
        <w:rPr>
          <w:rFonts w:hint="eastAsia" w:ascii="方正仿宋简体" w:eastAsia="方正仿宋简体"/>
          <w:b/>
          <w:color w:val="000000"/>
          <w:sz w:val="32"/>
          <w:szCs w:val="32"/>
          <w:lang w:eastAsia="zh-CN"/>
        </w:rPr>
        <w:t>202</w:t>
      </w:r>
      <w:r>
        <w:rPr>
          <w:rFonts w:hint="eastAsia" w:ascii="方正仿宋简体" w:eastAsia="方正仿宋简体"/>
          <w:b/>
          <w:color w:val="000000"/>
          <w:sz w:val="32"/>
          <w:szCs w:val="32"/>
          <w:lang w:val="en-US" w:eastAsia="zh-CN"/>
        </w:rPr>
        <w:t>2</w:t>
      </w:r>
      <w:r>
        <w:rPr>
          <w:rFonts w:hint="eastAsia" w:ascii="方正仿宋简体" w:eastAsia="方正仿宋简体"/>
          <w:b/>
          <w:color w:val="000000"/>
          <w:sz w:val="32"/>
          <w:szCs w:val="32"/>
          <w:lang w:eastAsia="zh-CN"/>
        </w:rPr>
        <w:t>年，</w:t>
      </w:r>
      <w:r>
        <w:rPr>
          <w:rFonts w:hint="eastAsia" w:ascii="方正仿宋简体" w:eastAsia="方正仿宋简体"/>
          <w:b/>
          <w:color w:val="000000"/>
          <w:sz w:val="32"/>
          <w:szCs w:val="32"/>
          <w:lang w:val="en-US" w:eastAsia="zh-CN"/>
        </w:rPr>
        <w:t>我中心</w:t>
      </w:r>
      <w:r>
        <w:rPr>
          <w:rFonts w:hint="eastAsia" w:ascii="方正仿宋简体" w:eastAsia="方正仿宋简体"/>
          <w:b/>
          <w:color w:val="000000"/>
          <w:sz w:val="32"/>
          <w:szCs w:val="32"/>
          <w:lang w:eastAsia="zh-CN"/>
        </w:rPr>
        <w:t>认真落实上级部门年度政务工作要点，进一步细化分解，将任务责任到人，确保应公开尽公开，不断提升政务公开能力水平。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（三）</w:t>
      </w:r>
      <w:r>
        <w:rPr>
          <w:rFonts w:hint="eastAsia" w:ascii="方正楷体简体" w:hAnsi="方正楷体简体" w:eastAsia="方正楷体简体" w:cs="方正楷体简体"/>
          <w:b/>
          <w:bCs/>
          <w:sz w:val="32"/>
          <w:szCs w:val="32"/>
        </w:rPr>
        <w:t>人大代表建议和政协提案办理结果公开情况</w:t>
      </w:r>
    </w:p>
    <w:p>
      <w:pPr>
        <w:keepNext w:val="0"/>
        <w:keepLines w:val="0"/>
        <w:pageBreakBefore w:val="0"/>
        <w:kinsoku/>
        <w:wordWrap/>
        <w:overflowPunct/>
        <w:topLinePunct w:val="0"/>
        <w:autoSpaceDE/>
        <w:autoSpaceDN/>
        <w:bidi w:val="0"/>
        <w:adjustRightInd/>
        <w:snapToGrid/>
        <w:spacing w:line="600" w:lineRule="exact"/>
        <w:ind w:right="-100" w:rightChars="-50" w:firstLine="643" w:firstLineChars="200"/>
        <w:textAlignment w:val="auto"/>
        <w:rPr>
          <w:rFonts w:hint="eastAsia" w:ascii="方正仿宋简体" w:eastAsia="方正仿宋简体"/>
          <w:b/>
          <w:color w:val="000000"/>
          <w:sz w:val="32"/>
          <w:szCs w:val="32"/>
          <w:lang w:eastAsia="zh-CN"/>
        </w:rPr>
      </w:pPr>
      <w:r>
        <w:rPr>
          <w:rFonts w:hint="eastAsia" w:ascii="方正仿宋简体" w:eastAsia="方正仿宋简体"/>
          <w:b/>
          <w:color w:val="000000"/>
          <w:sz w:val="32"/>
          <w:szCs w:val="32"/>
          <w:lang w:val="en-US" w:eastAsia="zh-CN"/>
        </w:rPr>
        <w:t>我中心</w:t>
      </w:r>
      <w:r>
        <w:rPr>
          <w:rFonts w:hint="eastAsia" w:ascii="方正仿宋简体" w:eastAsia="方正仿宋简体"/>
          <w:b/>
          <w:color w:val="000000"/>
          <w:sz w:val="32"/>
          <w:szCs w:val="32"/>
          <w:lang w:eastAsia="zh-CN"/>
        </w:rPr>
        <w:t>未承办人大代表建议和政协提案。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四</w:t>
      </w: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rPr>
        <w:t>年度政务公开工作创新情况</w:t>
      </w:r>
    </w:p>
    <w:p>
      <w:pPr>
        <w:keepNext w:val="0"/>
        <w:keepLines w:val="0"/>
        <w:pageBreakBefore w:val="0"/>
        <w:widowControl w:val="0"/>
        <w:kinsoku/>
        <w:wordWrap/>
        <w:overflowPunct/>
        <w:topLinePunct w:val="0"/>
        <w:autoSpaceDE/>
        <w:autoSpaceDN/>
        <w:bidi w:val="0"/>
        <w:adjustRightInd/>
        <w:snapToGrid/>
        <w:spacing w:line="600" w:lineRule="exact"/>
        <w:ind w:right="-100" w:rightChars="-50" w:firstLine="643" w:firstLineChars="200"/>
        <w:textAlignment w:val="auto"/>
        <w:rPr>
          <w:rFonts w:hint="eastAsia" w:ascii="方正仿宋简体" w:eastAsia="方正仿宋简体"/>
          <w:b/>
          <w:color w:val="000000"/>
          <w:sz w:val="32"/>
          <w:szCs w:val="32"/>
          <w:lang w:val="en-US" w:eastAsia="zh-CN"/>
        </w:rPr>
      </w:pPr>
      <w:r>
        <w:rPr>
          <w:rFonts w:hint="eastAsia" w:ascii="方正仿宋简体" w:eastAsia="方正仿宋简体"/>
          <w:b/>
          <w:color w:val="000000"/>
          <w:sz w:val="32"/>
          <w:szCs w:val="32"/>
          <w:lang w:val="en-US" w:eastAsia="zh-CN"/>
        </w:rPr>
        <w:t>2022年，</w:t>
      </w:r>
      <w:r>
        <w:rPr>
          <w:rFonts w:hint="eastAsia" w:ascii="方正仿宋简体" w:eastAsia="方正仿宋简体"/>
          <w:b/>
          <w:color w:val="000000"/>
          <w:sz w:val="32"/>
          <w:szCs w:val="32"/>
          <w:lang w:eastAsia="zh-CN"/>
        </w:rPr>
        <w:t>成立政务公开工作领导小组，专门负责领导本单位政务信息发布、维护、回应、解读等相关工作，充分发挥好</w:t>
      </w:r>
      <w:r>
        <w:rPr>
          <w:rFonts w:hint="eastAsia" w:ascii="方正仿宋简体" w:eastAsia="方正仿宋简体"/>
          <w:b/>
          <w:color w:val="000000"/>
          <w:sz w:val="32"/>
          <w:szCs w:val="32"/>
          <w:lang w:val="en-US" w:eastAsia="zh-CN"/>
        </w:rPr>
        <w:t>中心</w:t>
      </w:r>
      <w:r>
        <w:rPr>
          <w:rFonts w:hint="eastAsia" w:ascii="方正仿宋简体" w:eastAsia="方正仿宋简体"/>
          <w:b/>
          <w:color w:val="000000"/>
          <w:sz w:val="32"/>
          <w:szCs w:val="32"/>
          <w:lang w:eastAsia="zh-CN"/>
        </w:rPr>
        <w:t>办公室牵头协调、各科室配合的工作机制。</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3" w:firstLineChars="200"/>
        <w:jc w:val="both"/>
        <w:textAlignment w:val="auto"/>
        <w:rPr>
          <w:rFonts w:hint="default" w:ascii="方正仿宋简体" w:hAnsi="Times New Roman" w:eastAsia="方正仿宋简体" w:cs="Times New Roman"/>
          <w:b/>
          <w:color w:val="000000"/>
          <w:sz w:val="32"/>
          <w:szCs w:val="32"/>
          <w:lang w:val="en-US" w:eastAsia="zh-CN" w:bidi="ar-SA"/>
        </w:rPr>
      </w:pPr>
      <w:r>
        <w:rPr>
          <w:rFonts w:hint="eastAsia" w:ascii="方正楷体简体" w:hAnsi="方正楷体简体" w:eastAsia="方正楷体简体" w:cs="方正楷体简体"/>
          <w:b/>
          <w:bCs/>
          <w:sz w:val="32"/>
          <w:szCs w:val="32"/>
          <w:lang w:eastAsia="zh-CN"/>
        </w:rPr>
        <w:t>政府信息公开工作年度报告数据统计需要说明的事项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default" w:ascii="方正仿宋简体" w:hAnsi="Times New Roman" w:eastAsia="方正仿宋简体" w:cs="Times New Roman"/>
          <w:b/>
          <w:color w:val="000000"/>
          <w:sz w:val="32"/>
          <w:szCs w:val="32"/>
          <w:lang w:val="en-US" w:eastAsia="zh-CN" w:bidi="ar-SA"/>
        </w:rPr>
      </w:pPr>
      <w:r>
        <w:rPr>
          <w:rFonts w:hint="eastAsia" w:ascii="方正仿宋简体" w:hAnsi="Times New Roman" w:eastAsia="方正仿宋简体" w:cs="Times New Roman"/>
          <w:b/>
          <w:color w:val="000000"/>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（六）需要报告的其他事项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方正仿宋简体" w:eastAsia="方正仿宋简体" w:cs="Times New Roman"/>
          <w:b/>
          <w:color w:val="000000"/>
          <w:sz w:val="32"/>
          <w:szCs w:val="32"/>
          <w:lang w:val="en-US" w:eastAsia="zh-CN" w:bidi="ar-SA"/>
        </w:rPr>
      </w:pPr>
      <w:r>
        <w:rPr>
          <w:rFonts w:hint="eastAsia" w:ascii="方正仿宋简体" w:eastAsia="方正仿宋简体" w:cs="Times New Roman"/>
          <w:b/>
          <w:color w:val="000000"/>
          <w:sz w:val="32"/>
          <w:szCs w:val="32"/>
          <w:lang w:val="en-US" w:eastAsia="zh-CN" w:bidi="ar-SA"/>
        </w:rPr>
        <w:t>无。</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楷体简体" w:hAnsi="方正楷体简体" w:eastAsia="方正楷体简体" w:cs="方正楷体简体"/>
          <w:b/>
          <w:bCs/>
          <w:sz w:val="32"/>
          <w:szCs w:val="32"/>
          <w:lang w:eastAsia="zh-CN"/>
        </w:rPr>
      </w:pPr>
      <w:r>
        <w:rPr>
          <w:rFonts w:hint="eastAsia" w:ascii="方正楷体简体" w:hAnsi="方正楷体简体" w:eastAsia="方正楷体简体" w:cs="方正楷体简体"/>
          <w:b/>
          <w:bCs/>
          <w:sz w:val="32"/>
          <w:szCs w:val="32"/>
          <w:lang w:eastAsia="zh-CN"/>
        </w:rPr>
        <w:t>（</w:t>
      </w:r>
      <w:r>
        <w:rPr>
          <w:rFonts w:hint="eastAsia" w:ascii="方正楷体简体" w:hAnsi="方正楷体简体" w:eastAsia="方正楷体简体" w:cs="方正楷体简体"/>
          <w:b/>
          <w:bCs/>
          <w:sz w:val="32"/>
          <w:szCs w:val="32"/>
          <w:lang w:val="en-US" w:eastAsia="zh-CN"/>
        </w:rPr>
        <w:t>七</w:t>
      </w:r>
      <w:r>
        <w:rPr>
          <w:rFonts w:hint="eastAsia" w:ascii="方正楷体简体" w:hAnsi="方正楷体简体" w:eastAsia="方正楷体简体" w:cs="方正楷体简体"/>
          <w:b/>
          <w:bCs/>
          <w:sz w:val="32"/>
          <w:szCs w:val="32"/>
          <w:lang w:eastAsia="zh-CN"/>
        </w:rPr>
        <w:t>）其他有关文件专门要求通过政府信息公开工作年度报告予以报告的事项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方正仿宋简体" w:eastAsia="方正仿宋简体" w:cs="Times New Roman"/>
          <w:b/>
          <w:color w:val="000000"/>
          <w:sz w:val="32"/>
          <w:szCs w:val="32"/>
          <w:lang w:val="en-US" w:eastAsia="zh-CN" w:bidi="ar-SA"/>
        </w:rPr>
      </w:pPr>
      <w:r>
        <w:rPr>
          <w:rFonts w:hint="eastAsia" w:ascii="方正仿宋简体" w:eastAsia="方正仿宋简体" w:cs="Times New Roman"/>
          <w:b/>
          <w:color w:val="000000"/>
          <w:sz w:val="32"/>
          <w:szCs w:val="32"/>
          <w:lang w:val="en-US" w:eastAsia="zh-CN" w:bidi="ar-SA"/>
        </w:rPr>
        <w:t>无。</w:t>
      </w:r>
    </w:p>
    <w:p>
      <w:pPr>
        <w:pStyle w:val="2"/>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02BC9A"/>
    <w:multiLevelType w:val="singleLevel"/>
    <w:tmpl w:val="FB02BC9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QxNDc1NTE4MDhlZDU3NWE5NmQzNmQ4YmI2ZWQ1NTQifQ=="/>
  </w:docVars>
  <w:rsids>
    <w:rsidRoot w:val="00000000"/>
    <w:rsid w:val="0040683F"/>
    <w:rsid w:val="02E3031E"/>
    <w:rsid w:val="05512C3E"/>
    <w:rsid w:val="05904DF0"/>
    <w:rsid w:val="0A0F2828"/>
    <w:rsid w:val="0B4E0D98"/>
    <w:rsid w:val="0F1621F1"/>
    <w:rsid w:val="122C2707"/>
    <w:rsid w:val="16BD1A64"/>
    <w:rsid w:val="17DC07A7"/>
    <w:rsid w:val="1FE41930"/>
    <w:rsid w:val="200C1544"/>
    <w:rsid w:val="2A016C67"/>
    <w:rsid w:val="32FC02C9"/>
    <w:rsid w:val="34010B45"/>
    <w:rsid w:val="34E86BB8"/>
    <w:rsid w:val="388C6E05"/>
    <w:rsid w:val="3A9E0EF3"/>
    <w:rsid w:val="3B3D4642"/>
    <w:rsid w:val="43843C35"/>
    <w:rsid w:val="4574186F"/>
    <w:rsid w:val="461129C3"/>
    <w:rsid w:val="4ABD7739"/>
    <w:rsid w:val="521623DA"/>
    <w:rsid w:val="53AB62EB"/>
    <w:rsid w:val="572A5AE1"/>
    <w:rsid w:val="62EA41DC"/>
    <w:rsid w:val="648F34EA"/>
    <w:rsid w:val="67B14070"/>
    <w:rsid w:val="682009BC"/>
    <w:rsid w:val="6E005B10"/>
    <w:rsid w:val="6FAD3DE3"/>
    <w:rsid w:val="764160F2"/>
    <w:rsid w:val="788305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sz w:val="24"/>
      <w:szCs w:val="24"/>
    </w:rPr>
  </w:style>
  <w:style w:type="character" w:styleId="7">
    <w:name w:val="Strong"/>
    <w:basedOn w:val="6"/>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4" Type="http://schemas.microsoft.com/office/2011/relationships/chartColorStyle" Target="colors1.xml"/><Relationship Id="rId3" Type="http://schemas.microsoft.com/office/2011/relationships/chartStyle" Target="style1.xml"/><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t>政务公开工作情况</a:t>
            </a:r>
          </a:p>
        </c:rich>
      </c:tx>
      <c:layout/>
      <c:overlay val="0"/>
      <c:spPr>
        <a:noFill/>
        <a:ln>
          <a:noFill/>
        </a:ln>
        <a:effectLst/>
      </c:spPr>
    </c:title>
    <c:autoTitleDeleted val="0"/>
    <c:plotArea>
      <c:layout>
        <c:manualLayout>
          <c:layoutTarget val="inner"/>
          <c:xMode val="edge"/>
          <c:yMode val="edge"/>
          <c:x val="0.065227682747561"/>
          <c:y val="0.247100273018485"/>
          <c:w val="0.387144193505279"/>
          <c:h val="0.64607493309545"/>
        </c:manualLayout>
      </c:layout>
      <c:pieChart>
        <c:varyColors val="1"/>
        <c:ser>
          <c:idx val="0"/>
          <c:order val="0"/>
          <c:tx>
            <c:strRef>
              <c:f>Sheet1!$B$1</c:f>
              <c:strCache>
                <c:ptCount val="1"/>
                <c:pt idx="0">
                  <c:v>政务公开工作情况</c:v>
                </c:pt>
              </c:strCache>
            </c:strRef>
          </c:tx>
          <c:spPr>
            <a:ln w="19050">
              <a:solidFill>
                <a:schemeClr val="bg1"/>
              </a:solidFill>
            </a:ln>
            <a:effectLst>
              <a:outerShdw blurRad="63500" sx="102000" sy="102000" algn="ctr" rotWithShape="0">
                <a:srgbClr val="384C7C">
                  <a:alpha val="18000"/>
                </a:srgbClr>
              </a:outerShdw>
            </a:effectLst>
          </c:spPr>
          <c:explosion val="0"/>
          <c:dPt>
            <c:idx val="0"/>
            <c:bubble3D val="0"/>
            <c:spPr>
              <a:solidFill>
                <a:srgbClr val="04CD9E"/>
              </a:solidFill>
              <a:ln w="19050">
                <a:solidFill>
                  <a:schemeClr val="bg1"/>
                </a:solidFill>
                <a:miter lim="800000"/>
              </a:ln>
              <a:effectLst>
                <a:outerShdw blurRad="63500" sx="102000" sy="102000" algn="ctr" rotWithShape="0">
                  <a:srgbClr val="384C7C">
                    <a:alpha val="18000"/>
                  </a:srgbClr>
                </a:outerShdw>
              </a:effectLst>
            </c:spPr>
          </c:dPt>
          <c:dPt>
            <c:idx val="1"/>
            <c:bubble3D val="0"/>
            <c:spPr>
              <a:solidFill>
                <a:srgbClr val="80E214"/>
              </a:solidFill>
              <a:ln w="22225">
                <a:solidFill>
                  <a:schemeClr val="bg1"/>
                </a:solidFill>
              </a:ln>
              <a:effectLst>
                <a:outerShdw blurRad="63500" sx="102000" sy="102000" algn="ctr" rotWithShape="0">
                  <a:srgbClr val="384C7C">
                    <a:alpha val="18000"/>
                  </a:srgbClr>
                </a:outerShdw>
              </a:effectLst>
            </c:spPr>
          </c:dPt>
          <c:dPt>
            <c:idx val="2"/>
            <c:bubble3D val="0"/>
            <c:spPr>
              <a:solidFill>
                <a:srgbClr val="119FBE"/>
              </a:solidFill>
              <a:ln w="19050">
                <a:solidFill>
                  <a:schemeClr val="bg1"/>
                </a:solidFill>
              </a:ln>
              <a:effectLst>
                <a:outerShdw blurRad="63500" sx="102000" sy="102000" algn="ctr" rotWithShape="0">
                  <a:srgbClr val="384C7C">
                    <a:alpha val="18000"/>
                  </a:srgbClr>
                </a:outerShdw>
              </a:effectLst>
            </c:spPr>
          </c:dPt>
          <c:dPt>
            <c:idx val="3"/>
            <c:bubble3D val="0"/>
            <c:spPr>
              <a:solidFill>
                <a:srgbClr val="EBC279"/>
              </a:solidFill>
              <a:ln w="19050">
                <a:solidFill>
                  <a:schemeClr val="bg1"/>
                </a:solidFill>
              </a:ln>
              <a:effectLst>
                <a:outerShdw blurRad="63500" sx="102000" sy="102000" algn="ctr" rotWithShape="0">
                  <a:srgbClr val="384C7C">
                    <a:alpha val="18000"/>
                  </a:srgbClr>
                </a:outerShdw>
              </a:effectLst>
            </c:spPr>
          </c:dPt>
          <c:dPt>
            <c:idx val="4"/>
            <c:bubble3D val="0"/>
            <c:spPr>
              <a:solidFill>
                <a:schemeClr val="accent5"/>
              </a:solidFill>
              <a:ln w="19050">
                <a:solidFill>
                  <a:schemeClr val="bg1"/>
                </a:solidFill>
              </a:ln>
              <a:effectLst>
                <a:outerShdw blurRad="63500" sx="102000" sy="102000" algn="ctr" rotWithShape="0">
                  <a:srgbClr val="384C7C">
                    <a:alpha val="18000"/>
                  </a:srgbClr>
                </a:outerShdw>
              </a:effectLst>
            </c:spPr>
          </c:dPt>
          <c:dLbls>
            <c:numFmt formatCode="General" sourceLinked="1"/>
            <c:spPr>
              <a:noFill/>
              <a:ln>
                <a:noFill/>
              </a:ln>
              <a:effectLst/>
            </c:spPr>
            <c:txPr>
              <a:bodyPr rot="0" spcFirstLastPara="0" vertOverflow="ellipsis" vert="horz" wrap="square" lIns="38100" tIns="19050" rIns="38100" bIns="19050" anchor="ctr" anchorCtr="1" forceAA="0">
                <a:spAutoFit/>
              </a:bodyPr>
              <a:lstStyle/>
              <a:p>
                <a:pPr>
                  <a:defRPr lang="zh-CN" sz="900" b="0" i="0" u="none" strike="noStrike" kern="1200" baseline="0">
                    <a:solidFill>
                      <a:schemeClr val="bg1"/>
                    </a:solidFill>
                    <a:latin typeface="微软雅黑" panose="020B0503020204020204" charset="-122"/>
                    <a:ea typeface="微软雅黑" panose="020B0503020204020204" charset="-122"/>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财政预决算</c:v>
                </c:pt>
                <c:pt idx="1">
                  <c:v>政策解读</c:v>
                </c:pt>
                <c:pt idx="2">
                  <c:v>涉农补贴</c:v>
                </c:pt>
                <c:pt idx="3">
                  <c:v>“双随机、 一公开”监管</c:v>
                </c:pt>
                <c:pt idx="4">
                  <c:v>其他信息</c:v>
                </c:pt>
              </c:strCache>
            </c:strRef>
          </c:cat>
          <c:val>
            <c:numRef>
              <c:f>Sheet1!$B$2:$B$6</c:f>
              <c:numCache>
                <c:formatCode>General</c:formatCode>
                <c:ptCount val="5"/>
                <c:pt idx="0">
                  <c:v>4</c:v>
                </c:pt>
                <c:pt idx="1">
                  <c:v>3</c:v>
                </c:pt>
                <c:pt idx="2">
                  <c:v>17</c:v>
                </c:pt>
                <c:pt idx="3">
                  <c:v>3</c:v>
                </c:pt>
                <c:pt idx="4">
                  <c:v>9</c:v>
                </c:pt>
              </c:numCache>
            </c:numRef>
          </c:val>
        </c:ser>
        <c:dLbls>
          <c:showLegendKey val="0"/>
          <c:showVal val="1"/>
          <c:showCatName val="0"/>
          <c:showSerName val="0"/>
          <c:showPercent val="0"/>
          <c:showBubbleSize val="0"/>
          <c:showLeaderLines val="1"/>
        </c:dLbls>
        <c:firstSliceAng val="8"/>
      </c:pieChart>
      <c:spPr>
        <a:noFill/>
        <a:ln>
          <a:noFill/>
        </a:ln>
        <a:effectLst/>
      </c:spPr>
    </c:plotArea>
    <c:legend>
      <c:legendPos val="b"/>
      <c:legendEntry>
        <c:idx val="0"/>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Entry>
      <c:legendEntry>
        <c:idx val="1"/>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Entry>
      <c:legendEntry>
        <c:idx val="2"/>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Entry>
      <c:legendEntry>
        <c:idx val="3"/>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Entry>
      <c:legendEntry>
        <c:idx val="4"/>
        <c:txPr>
          <a:bodyPr rot="0" spcFirstLastPara="0" vertOverflow="ellipsis" vert="horz" wrap="square" anchor="ctr" anchorCtr="1"/>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Entry>
      <c:layout>
        <c:manualLayout>
          <c:xMode val="edge"/>
          <c:yMode val="edge"/>
          <c:x val="0.49125"/>
          <c:y val="0.585166666666667"/>
          <c:w val="0.505"/>
          <c:h val="0.362333333333333"/>
        </c:manualLayout>
      </c:layout>
      <c:overlay val="0"/>
      <c:spPr>
        <a:noFill/>
        <a:ln>
          <a:noFill/>
        </a:ln>
        <a:effectLst/>
      </c:spPr>
      <c:txPr>
        <a:bodyPr rot="0" spcFirstLastPara="0" vertOverflow="ellipsis" vert="horz" wrap="square" anchor="ctr" anchorCtr="1" forceAA="0"/>
        <a:lstStyle/>
        <a:p>
          <a:pPr>
            <a:defRPr lang="zh-CN" sz="1400" b="0" i="0" u="none" strike="noStrike" kern="1200" cap="none" spc="0" normalizeH="0" baseline="0">
              <a:solidFill>
                <a:schemeClr val="tx1">
                  <a:lumMod val="65000"/>
                  <a:lumOff val="35000"/>
                </a:schemeClr>
              </a:solidFill>
              <a:uFill>
                <a:solidFill>
                  <a:schemeClr val="tx1">
                    <a:lumMod val="65000"/>
                    <a:lumOff val="35000"/>
                  </a:schemeClr>
                </a:solidFill>
              </a:uFill>
              <a:latin typeface="微软雅黑" panose="020B0503020204020204" charset="-122"/>
              <a:ea typeface="微软雅黑" panose="020B0503020204020204" charset="-122"/>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a:outerShdw blurRad="63500" dist="37357" dir="2700000" sx="0" sy="0" rotWithShape="0">
        <a:scrgbClr r="0" g="0" b="0"/>
      </a:outerShdw>
    </a:effectLst>
  </c:spPr>
  <c:txPr>
    <a:bodyPr/>
    <a:lstStyle/>
    <a:p>
      <a:pPr>
        <a:defRPr lang="zh-CN">
          <a:latin typeface="微软雅黑" panose="020B0503020204020204" charset="-122"/>
          <a:ea typeface="微软雅黑" panose="020B0503020204020204" charset="-122"/>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Pages>6</Pages>
  <Words>2343</Words>
  <Characters>2437</Characters>
  <Lines>0</Lines>
  <Paragraphs>0</Paragraphs>
  <TotalTime>0</TotalTime>
  <ScaleCrop>false</ScaleCrop>
  <LinksUpToDate>false</LinksUpToDate>
  <CharactersWithSpaces>2441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2022-03-04T02:31:00Z</dcterms:created>
  <dc:creator>LENOVO</dc:creator>
  <cp:lastModifiedBy>冯广志</cp:lastModifiedBy>
  <dcterms:modified xsi:type="dcterms:W3CDTF">2023-02-03T08:48:30Z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7CBFC81BCF5C42AEA66D79C535EA454F</vt:lpwstr>
  </property>
</Properties>
</file>