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81ABE9">
      <w:pPr>
        <w:spacing w:line="600" w:lineRule="exact"/>
        <w:rPr>
          <w:rFonts w:hint="default" w:ascii="Times New Roman" w:hAnsi="Times New Roman" w:eastAsia="黑体" w:cs="Times New Roman"/>
          <w:b/>
          <w:color w:val="000000"/>
          <w:sz w:val="32"/>
          <w:szCs w:val="32"/>
          <w:lang w:val="en-US" w:eastAsia="zh-CN"/>
        </w:rPr>
      </w:pPr>
      <w:r>
        <w:rPr>
          <w:rFonts w:hint="default" w:ascii="Times New Roman" w:hAnsi="Times New Roman" w:eastAsia="黑体" w:cs="Times New Roman"/>
          <w:b/>
          <w:color w:val="000000"/>
          <w:sz w:val="32"/>
          <w:szCs w:val="32"/>
        </w:rPr>
        <w:t>附件</w:t>
      </w:r>
      <w:r>
        <w:rPr>
          <w:rFonts w:hint="default" w:ascii="Times New Roman" w:hAnsi="Times New Roman" w:eastAsia="黑体" w:cs="Times New Roman"/>
          <w:b/>
          <w:color w:val="000000"/>
          <w:sz w:val="32"/>
          <w:szCs w:val="32"/>
          <w:lang w:val="en-US" w:eastAsia="zh-CN"/>
        </w:rPr>
        <w:t>2</w:t>
      </w:r>
    </w:p>
    <w:p w14:paraId="5F80495B">
      <w:pPr>
        <w:spacing w:line="600" w:lineRule="exact"/>
        <w:jc w:val="center"/>
        <w:rPr>
          <w:rFonts w:hint="default" w:ascii="Times New Roman" w:hAnsi="Times New Roman" w:eastAsia="方正仿宋简体" w:cs="Times New Roman"/>
          <w:b/>
          <w:color w:val="000000"/>
          <w:sz w:val="32"/>
          <w:szCs w:val="32"/>
        </w:rPr>
      </w:pPr>
      <w:r>
        <w:rPr>
          <w:rFonts w:hint="eastAsia" w:eastAsia="方正小标宋简体" w:cs="Times New Roman"/>
          <w:b/>
          <w:color w:val="000000"/>
          <w:sz w:val="44"/>
          <w:szCs w:val="44"/>
          <w:lang w:val="en-US" w:eastAsia="zh-CN"/>
        </w:rPr>
        <w:t>2026</w:t>
      </w:r>
      <w:r>
        <w:rPr>
          <w:rFonts w:hint="default" w:ascii="Times New Roman" w:hAnsi="Times New Roman" w:eastAsia="方正小标宋简体" w:cs="Times New Roman"/>
          <w:b/>
          <w:color w:val="000000"/>
          <w:sz w:val="44"/>
          <w:szCs w:val="44"/>
          <w:lang w:val="en-US" w:eastAsia="zh-CN"/>
        </w:rPr>
        <w:t>年</w:t>
      </w:r>
      <w:r>
        <w:rPr>
          <w:rFonts w:hint="default" w:ascii="Times New Roman" w:hAnsi="Times New Roman" w:eastAsia="方正小标宋简体" w:cs="Times New Roman"/>
          <w:b/>
          <w:color w:val="000000"/>
          <w:sz w:val="44"/>
          <w:szCs w:val="44"/>
        </w:rPr>
        <w:t>太白湖新区</w:t>
      </w:r>
      <w:r>
        <w:rPr>
          <w:rFonts w:hint="default" w:ascii="Times New Roman" w:hAnsi="Times New Roman" w:eastAsia="方正小标宋简体" w:cs="Times New Roman"/>
          <w:b/>
          <w:color w:val="000000"/>
          <w:sz w:val="44"/>
          <w:szCs w:val="44"/>
          <w:lang w:val="en-US" w:eastAsia="zh-CN"/>
        </w:rPr>
        <w:t>城区</w:t>
      </w:r>
      <w:r>
        <w:rPr>
          <w:rFonts w:hint="default" w:ascii="Times New Roman" w:hAnsi="Times New Roman" w:eastAsia="方正小标宋简体" w:cs="Times New Roman"/>
          <w:b/>
          <w:color w:val="000000"/>
          <w:sz w:val="44"/>
          <w:szCs w:val="44"/>
        </w:rPr>
        <w:t>进城务工人员随迁子女积分入学分值表</w:t>
      </w:r>
    </w:p>
    <w:tbl>
      <w:tblPr>
        <w:tblStyle w:val="5"/>
        <w:tblW w:w="14930" w:type="dxa"/>
        <w:jc w:val="center"/>
        <w:tblLayout w:type="fixed"/>
        <w:tblCellMar>
          <w:top w:w="0" w:type="dxa"/>
          <w:left w:w="108" w:type="dxa"/>
          <w:bottom w:w="0" w:type="dxa"/>
          <w:right w:w="108" w:type="dxa"/>
        </w:tblCellMar>
      </w:tblPr>
      <w:tblGrid>
        <w:gridCol w:w="640"/>
        <w:gridCol w:w="786"/>
        <w:gridCol w:w="708"/>
        <w:gridCol w:w="1985"/>
        <w:gridCol w:w="5953"/>
        <w:gridCol w:w="2552"/>
        <w:gridCol w:w="1134"/>
        <w:gridCol w:w="1172"/>
      </w:tblGrid>
      <w:tr w14:paraId="39D36199">
        <w:tblPrEx>
          <w:tblCellMar>
            <w:top w:w="0" w:type="dxa"/>
            <w:left w:w="108" w:type="dxa"/>
            <w:bottom w:w="0" w:type="dxa"/>
            <w:right w:w="108" w:type="dxa"/>
          </w:tblCellMar>
        </w:tblPrEx>
        <w:trPr>
          <w:trHeight w:val="1058" w:hRule="atLeast"/>
          <w:jc w:val="center"/>
        </w:trPr>
        <w:tc>
          <w:tcPr>
            <w:tcW w:w="640" w:type="dxa"/>
            <w:tcBorders>
              <w:top w:val="single" w:color="auto" w:sz="4" w:space="0"/>
              <w:left w:val="single" w:color="auto" w:sz="4" w:space="0"/>
              <w:bottom w:val="single" w:color="auto" w:sz="4" w:space="0"/>
              <w:right w:val="single" w:color="auto" w:sz="4" w:space="0"/>
            </w:tcBorders>
            <w:noWrap w:val="0"/>
            <w:vAlign w:val="center"/>
          </w:tcPr>
          <w:p w14:paraId="5FA4A530">
            <w:pPr>
              <w:spacing w:line="400" w:lineRule="exact"/>
              <w:jc w:val="center"/>
              <w:rPr>
                <w:rFonts w:hint="default" w:ascii="Times New Roman" w:hAnsi="Times New Roman" w:eastAsia="方正黑体简体" w:cs="Times New Roman"/>
                <w:b/>
                <w:bCs/>
                <w:color w:val="000000"/>
                <w:szCs w:val="21"/>
              </w:rPr>
            </w:pPr>
            <w:r>
              <w:rPr>
                <w:rFonts w:hint="default" w:ascii="Times New Roman" w:hAnsi="Times New Roman" w:eastAsia="方正黑体简体" w:cs="Times New Roman"/>
                <w:b/>
                <w:bCs/>
                <w:color w:val="000000"/>
                <w:szCs w:val="21"/>
              </w:rPr>
              <w:t>序号</w:t>
            </w:r>
          </w:p>
        </w:tc>
        <w:tc>
          <w:tcPr>
            <w:tcW w:w="1494" w:type="dxa"/>
            <w:gridSpan w:val="2"/>
            <w:tcBorders>
              <w:top w:val="single" w:color="auto" w:sz="4" w:space="0"/>
              <w:left w:val="single" w:color="auto" w:sz="4" w:space="0"/>
              <w:bottom w:val="single" w:color="auto" w:sz="4" w:space="0"/>
              <w:right w:val="single" w:color="auto" w:sz="4" w:space="0"/>
            </w:tcBorders>
            <w:noWrap w:val="0"/>
            <w:vAlign w:val="center"/>
          </w:tcPr>
          <w:p w14:paraId="2DDF78DD">
            <w:pPr>
              <w:spacing w:line="400" w:lineRule="exact"/>
              <w:jc w:val="center"/>
              <w:rPr>
                <w:rFonts w:hint="default" w:ascii="Times New Roman" w:hAnsi="Times New Roman" w:eastAsia="方正黑体简体" w:cs="Times New Roman"/>
                <w:b/>
                <w:bCs/>
                <w:color w:val="000000"/>
                <w:szCs w:val="21"/>
              </w:rPr>
            </w:pPr>
            <w:r>
              <w:rPr>
                <w:rFonts w:hint="default" w:ascii="Times New Roman" w:hAnsi="Times New Roman" w:eastAsia="方正黑体简体" w:cs="Times New Roman"/>
                <w:b/>
                <w:bCs/>
                <w:color w:val="000000"/>
                <w:szCs w:val="21"/>
              </w:rPr>
              <w:t>指标</w:t>
            </w:r>
          </w:p>
        </w:tc>
        <w:tc>
          <w:tcPr>
            <w:tcW w:w="1985" w:type="dxa"/>
            <w:tcBorders>
              <w:top w:val="single" w:color="auto" w:sz="4" w:space="0"/>
              <w:left w:val="single" w:color="auto" w:sz="4" w:space="0"/>
              <w:bottom w:val="single" w:color="auto" w:sz="4" w:space="0"/>
              <w:right w:val="single" w:color="auto" w:sz="4" w:space="0"/>
            </w:tcBorders>
            <w:noWrap w:val="0"/>
            <w:vAlign w:val="center"/>
          </w:tcPr>
          <w:p w14:paraId="10276A9C">
            <w:pPr>
              <w:spacing w:line="400" w:lineRule="exact"/>
              <w:jc w:val="center"/>
              <w:rPr>
                <w:rFonts w:hint="default" w:ascii="Times New Roman" w:hAnsi="Times New Roman" w:eastAsia="方正黑体简体" w:cs="Times New Roman"/>
                <w:b/>
                <w:bCs/>
                <w:color w:val="000000"/>
                <w:szCs w:val="21"/>
              </w:rPr>
            </w:pPr>
            <w:r>
              <w:rPr>
                <w:rFonts w:hint="default" w:ascii="Times New Roman" w:hAnsi="Times New Roman" w:eastAsia="方正黑体简体" w:cs="Times New Roman"/>
                <w:b/>
                <w:bCs/>
                <w:color w:val="000000"/>
                <w:szCs w:val="21"/>
              </w:rPr>
              <w:t>指标内容及分值</w:t>
            </w:r>
          </w:p>
          <w:p w14:paraId="6DE93732">
            <w:pPr>
              <w:spacing w:line="400" w:lineRule="exact"/>
              <w:jc w:val="center"/>
              <w:rPr>
                <w:rFonts w:hint="default" w:ascii="Times New Roman" w:hAnsi="Times New Roman" w:eastAsia="方正黑体简体" w:cs="Times New Roman"/>
                <w:b/>
                <w:bCs/>
                <w:color w:val="000000"/>
                <w:szCs w:val="21"/>
              </w:rPr>
            </w:pPr>
            <w:r>
              <w:rPr>
                <w:rFonts w:hint="default" w:ascii="Times New Roman" w:hAnsi="Times New Roman" w:eastAsia="方正黑体简体" w:cs="Times New Roman"/>
                <w:b/>
                <w:bCs/>
                <w:color w:val="000000"/>
                <w:szCs w:val="21"/>
              </w:rPr>
              <w:t>标准</w:t>
            </w:r>
          </w:p>
        </w:tc>
        <w:tc>
          <w:tcPr>
            <w:tcW w:w="5953" w:type="dxa"/>
            <w:tcBorders>
              <w:top w:val="single" w:color="auto" w:sz="4" w:space="0"/>
              <w:left w:val="single" w:color="auto" w:sz="4" w:space="0"/>
              <w:bottom w:val="single" w:color="auto" w:sz="4" w:space="0"/>
              <w:right w:val="single" w:color="auto" w:sz="4" w:space="0"/>
            </w:tcBorders>
            <w:noWrap w:val="0"/>
            <w:vAlign w:val="center"/>
          </w:tcPr>
          <w:p w14:paraId="763D6A06">
            <w:pPr>
              <w:spacing w:line="400" w:lineRule="exact"/>
              <w:jc w:val="center"/>
              <w:rPr>
                <w:rFonts w:hint="default" w:ascii="Times New Roman" w:hAnsi="Times New Roman" w:eastAsia="方正黑体简体" w:cs="Times New Roman"/>
                <w:b/>
                <w:bCs/>
                <w:color w:val="000000"/>
                <w:szCs w:val="21"/>
              </w:rPr>
            </w:pPr>
            <w:r>
              <w:rPr>
                <w:rFonts w:hint="default" w:ascii="Times New Roman" w:hAnsi="Times New Roman" w:eastAsia="方正黑体简体" w:cs="Times New Roman"/>
                <w:b/>
                <w:bCs/>
                <w:color w:val="000000"/>
                <w:szCs w:val="21"/>
              </w:rPr>
              <w:t>实施说明</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0D03C230">
            <w:pPr>
              <w:spacing w:line="400" w:lineRule="exact"/>
              <w:jc w:val="center"/>
              <w:rPr>
                <w:rFonts w:hint="default" w:ascii="Times New Roman" w:hAnsi="Times New Roman" w:eastAsia="方正黑体简体" w:cs="Times New Roman"/>
                <w:b/>
                <w:bCs/>
                <w:color w:val="000000"/>
                <w:szCs w:val="21"/>
              </w:rPr>
            </w:pPr>
            <w:r>
              <w:rPr>
                <w:rFonts w:hint="default" w:ascii="Times New Roman" w:hAnsi="Times New Roman" w:eastAsia="方正黑体简体" w:cs="Times New Roman"/>
                <w:b/>
                <w:bCs/>
                <w:color w:val="000000"/>
                <w:szCs w:val="21"/>
              </w:rPr>
              <w:t>提交证件证明材料</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DC7A3B5">
            <w:pPr>
              <w:spacing w:line="400" w:lineRule="exact"/>
              <w:jc w:val="center"/>
              <w:rPr>
                <w:rFonts w:hint="default" w:ascii="Times New Roman" w:hAnsi="Times New Roman" w:eastAsia="方正黑体简体" w:cs="Times New Roman"/>
                <w:b/>
                <w:bCs/>
                <w:color w:val="000000"/>
                <w:szCs w:val="21"/>
              </w:rPr>
            </w:pPr>
            <w:r>
              <w:rPr>
                <w:rFonts w:hint="default" w:ascii="Times New Roman" w:hAnsi="Times New Roman" w:eastAsia="方正黑体简体" w:cs="Times New Roman"/>
                <w:b/>
                <w:bCs/>
                <w:color w:val="000000"/>
                <w:szCs w:val="21"/>
              </w:rPr>
              <w:t>负责部门</w:t>
            </w:r>
          </w:p>
        </w:tc>
        <w:tc>
          <w:tcPr>
            <w:tcW w:w="1172" w:type="dxa"/>
            <w:tcBorders>
              <w:top w:val="single" w:color="auto" w:sz="4" w:space="0"/>
              <w:left w:val="single" w:color="auto" w:sz="4" w:space="0"/>
              <w:bottom w:val="single" w:color="auto" w:sz="4" w:space="0"/>
              <w:right w:val="single" w:color="auto" w:sz="4" w:space="0"/>
            </w:tcBorders>
            <w:noWrap w:val="0"/>
            <w:vAlign w:val="center"/>
          </w:tcPr>
          <w:p w14:paraId="347900D3">
            <w:pPr>
              <w:spacing w:line="400" w:lineRule="exact"/>
              <w:jc w:val="center"/>
              <w:rPr>
                <w:rFonts w:hint="default" w:ascii="Times New Roman" w:hAnsi="Times New Roman" w:eastAsia="方正黑体简体" w:cs="Times New Roman"/>
                <w:b/>
                <w:bCs/>
                <w:color w:val="000000"/>
                <w:szCs w:val="21"/>
              </w:rPr>
            </w:pPr>
            <w:r>
              <w:rPr>
                <w:rFonts w:hint="default" w:ascii="Times New Roman" w:hAnsi="Times New Roman" w:eastAsia="方正黑体简体" w:cs="Times New Roman"/>
                <w:b/>
                <w:bCs/>
                <w:color w:val="000000"/>
                <w:szCs w:val="21"/>
              </w:rPr>
              <w:t>备注</w:t>
            </w:r>
          </w:p>
        </w:tc>
      </w:tr>
      <w:tr w14:paraId="7C6CAA5A">
        <w:tblPrEx>
          <w:tblCellMar>
            <w:top w:w="0" w:type="dxa"/>
            <w:left w:w="108" w:type="dxa"/>
            <w:bottom w:w="0" w:type="dxa"/>
            <w:right w:w="108" w:type="dxa"/>
          </w:tblCellMar>
        </w:tblPrEx>
        <w:trPr>
          <w:trHeight w:val="90" w:hRule="atLeast"/>
          <w:jc w:val="center"/>
        </w:trPr>
        <w:tc>
          <w:tcPr>
            <w:tcW w:w="640" w:type="dxa"/>
            <w:vMerge w:val="restart"/>
            <w:tcBorders>
              <w:top w:val="single" w:color="auto" w:sz="4" w:space="0"/>
              <w:left w:val="single" w:color="auto" w:sz="4" w:space="0"/>
              <w:bottom w:val="single" w:color="auto" w:sz="4" w:space="0"/>
              <w:right w:val="single" w:color="auto" w:sz="4" w:space="0"/>
            </w:tcBorders>
            <w:noWrap w:val="0"/>
            <w:vAlign w:val="center"/>
          </w:tcPr>
          <w:p w14:paraId="33AF7FB5">
            <w:pPr>
              <w:spacing w:line="400" w:lineRule="exact"/>
              <w:jc w:val="center"/>
              <w:rPr>
                <w:rFonts w:hint="default" w:ascii="Times New Roman" w:hAnsi="Times New Roman" w:eastAsia="方正仿宋简体" w:cs="Times New Roman"/>
                <w:b/>
                <w:bCs/>
                <w:color w:val="000000"/>
                <w:szCs w:val="21"/>
              </w:rPr>
            </w:pPr>
            <w:r>
              <w:rPr>
                <w:rFonts w:hint="default" w:ascii="Times New Roman" w:hAnsi="Times New Roman" w:eastAsia="方正仿宋简体" w:cs="Times New Roman"/>
                <w:b/>
                <w:bCs/>
                <w:color w:val="000000"/>
                <w:szCs w:val="21"/>
              </w:rPr>
              <w:t>1</w:t>
            </w:r>
          </w:p>
        </w:tc>
        <w:tc>
          <w:tcPr>
            <w:tcW w:w="786" w:type="dxa"/>
            <w:vMerge w:val="restart"/>
            <w:tcBorders>
              <w:top w:val="single" w:color="auto" w:sz="4" w:space="0"/>
              <w:left w:val="single" w:color="auto" w:sz="4" w:space="0"/>
              <w:bottom w:val="single" w:color="auto" w:sz="4" w:space="0"/>
              <w:right w:val="single" w:color="auto" w:sz="4" w:space="0"/>
            </w:tcBorders>
            <w:noWrap w:val="0"/>
            <w:vAlign w:val="center"/>
          </w:tcPr>
          <w:p w14:paraId="55F919AC">
            <w:pPr>
              <w:spacing w:line="400" w:lineRule="exact"/>
              <w:jc w:val="center"/>
              <w:rPr>
                <w:rFonts w:hint="default" w:ascii="Times New Roman" w:hAnsi="Times New Roman" w:eastAsia="方正仿宋简体" w:cs="Times New Roman"/>
                <w:b/>
                <w:bCs/>
                <w:color w:val="000000"/>
                <w:szCs w:val="21"/>
              </w:rPr>
            </w:pPr>
            <w:r>
              <w:rPr>
                <w:rFonts w:hint="default" w:ascii="Times New Roman" w:hAnsi="Times New Roman" w:eastAsia="方正仿宋简体" w:cs="Times New Roman"/>
                <w:b/>
                <w:bCs/>
                <w:color w:val="000000"/>
                <w:szCs w:val="21"/>
              </w:rPr>
              <w:t>居所方面</w:t>
            </w:r>
          </w:p>
          <w:p w14:paraId="5E94711E">
            <w:pPr>
              <w:pStyle w:val="2"/>
              <w:rPr>
                <w:rFonts w:hint="eastAsia" w:eastAsia="方正仿宋简体"/>
                <w:lang w:eastAsia="zh-CN"/>
              </w:rPr>
            </w:pPr>
            <w:r>
              <w:rPr>
                <w:rFonts w:hint="eastAsia" w:eastAsia="方正仿宋简体" w:cs="Times New Roman"/>
                <w:b/>
                <w:bCs/>
                <w:color w:val="000000"/>
                <w:szCs w:val="21"/>
                <w:lang w:eastAsia="zh-CN"/>
              </w:rPr>
              <w:t>（</w:t>
            </w:r>
            <w:r>
              <w:rPr>
                <w:rFonts w:hint="eastAsia" w:eastAsia="方正仿宋简体" w:cs="Times New Roman"/>
                <w:b/>
                <w:bCs/>
                <w:color w:val="000000"/>
                <w:szCs w:val="21"/>
                <w:lang w:val="en-US" w:eastAsia="zh-CN"/>
              </w:rPr>
              <w:t>60分</w:t>
            </w:r>
            <w:r>
              <w:rPr>
                <w:rFonts w:hint="eastAsia" w:eastAsia="方正仿宋简体" w:cs="Times New Roman"/>
                <w:b/>
                <w:bCs/>
                <w:color w:val="000000"/>
                <w:szCs w:val="21"/>
                <w:lang w:eastAsia="zh-CN"/>
              </w:rPr>
              <w:t>）</w:t>
            </w:r>
          </w:p>
        </w:tc>
        <w:tc>
          <w:tcPr>
            <w:tcW w:w="708" w:type="dxa"/>
            <w:vMerge w:val="restart"/>
            <w:tcBorders>
              <w:top w:val="single" w:color="auto" w:sz="4" w:space="0"/>
              <w:left w:val="single" w:color="auto" w:sz="4" w:space="0"/>
              <w:bottom w:val="single" w:color="auto" w:sz="4" w:space="0"/>
              <w:right w:val="single" w:color="auto" w:sz="4" w:space="0"/>
            </w:tcBorders>
            <w:noWrap w:val="0"/>
            <w:vAlign w:val="center"/>
          </w:tcPr>
          <w:p w14:paraId="1D90A877">
            <w:pPr>
              <w:spacing w:line="400" w:lineRule="exact"/>
              <w:rPr>
                <w:rFonts w:hint="default" w:ascii="Times New Roman" w:hAnsi="Times New Roman" w:eastAsia="方正仿宋简体" w:cs="Times New Roman"/>
                <w:b/>
                <w:bCs/>
                <w:color w:val="000000"/>
                <w:szCs w:val="21"/>
              </w:rPr>
            </w:pPr>
            <w:r>
              <w:rPr>
                <w:rFonts w:hint="default" w:ascii="Times New Roman" w:hAnsi="Times New Roman" w:eastAsia="方正仿宋简体" w:cs="Times New Roman"/>
                <w:b/>
                <w:bCs/>
                <w:color w:val="000000"/>
                <w:szCs w:val="21"/>
              </w:rPr>
              <w:t>购房</w:t>
            </w:r>
          </w:p>
        </w:tc>
        <w:tc>
          <w:tcPr>
            <w:tcW w:w="1985" w:type="dxa"/>
            <w:tcBorders>
              <w:top w:val="single" w:color="auto" w:sz="4" w:space="0"/>
              <w:left w:val="single" w:color="auto" w:sz="4" w:space="0"/>
              <w:bottom w:val="single" w:color="auto" w:sz="4" w:space="0"/>
              <w:right w:val="single" w:color="auto" w:sz="4" w:space="0"/>
            </w:tcBorders>
            <w:noWrap w:val="0"/>
            <w:vAlign w:val="center"/>
          </w:tcPr>
          <w:p w14:paraId="382B70B0">
            <w:pPr>
              <w:spacing w:line="400" w:lineRule="exact"/>
              <w:rPr>
                <w:rFonts w:hint="default" w:ascii="Times New Roman" w:hAnsi="Times New Roman" w:eastAsia="方正仿宋简体" w:cs="Times New Roman"/>
                <w:b/>
                <w:bCs/>
                <w:color w:val="000000"/>
                <w:szCs w:val="21"/>
              </w:rPr>
            </w:pPr>
            <w:r>
              <w:rPr>
                <w:rFonts w:hint="default" w:ascii="Times New Roman" w:hAnsi="Times New Roman" w:eastAsia="方正仿宋简体" w:cs="Times New Roman"/>
                <w:b/>
                <w:bCs/>
                <w:color w:val="000000"/>
                <w:szCs w:val="21"/>
              </w:rPr>
              <w:t>具有房屋的合法所有权并实际居住</w:t>
            </w:r>
            <w:r>
              <w:rPr>
                <w:rFonts w:hint="default" w:ascii="Times New Roman" w:hAnsi="Times New Roman" w:eastAsia="方正仿宋简体" w:cs="Times New Roman"/>
                <w:b/>
                <w:bCs/>
                <w:color w:val="000000"/>
                <w:szCs w:val="21"/>
                <w:lang w:eastAsia="zh-CN"/>
              </w:rPr>
              <w:t>（</w:t>
            </w:r>
            <w:r>
              <w:rPr>
                <w:rFonts w:hint="default" w:ascii="Times New Roman" w:hAnsi="Times New Roman" w:eastAsia="方正仿宋简体" w:cs="Times New Roman"/>
                <w:b/>
                <w:bCs/>
                <w:color w:val="000000"/>
                <w:szCs w:val="21"/>
              </w:rPr>
              <w:t>60分</w:t>
            </w:r>
            <w:r>
              <w:rPr>
                <w:rFonts w:hint="default" w:ascii="Times New Roman" w:hAnsi="Times New Roman" w:eastAsia="方正仿宋简体" w:cs="Times New Roman"/>
                <w:b/>
                <w:bCs/>
                <w:color w:val="000000"/>
                <w:szCs w:val="21"/>
                <w:lang w:eastAsia="zh-CN"/>
              </w:rPr>
              <w:t>）</w:t>
            </w:r>
            <w:r>
              <w:rPr>
                <w:rFonts w:hint="default" w:ascii="Times New Roman" w:hAnsi="Times New Roman" w:eastAsia="方正仿宋简体" w:cs="Times New Roman"/>
                <w:b/>
                <w:bCs/>
                <w:color w:val="000000"/>
                <w:szCs w:val="21"/>
              </w:rPr>
              <w:t xml:space="preserve">。                                                     </w:t>
            </w:r>
          </w:p>
        </w:tc>
        <w:tc>
          <w:tcPr>
            <w:tcW w:w="5953" w:type="dxa"/>
            <w:vMerge w:val="restart"/>
            <w:tcBorders>
              <w:top w:val="single" w:color="auto" w:sz="4" w:space="0"/>
              <w:left w:val="single" w:color="auto" w:sz="4" w:space="0"/>
              <w:bottom w:val="single" w:color="auto" w:sz="4" w:space="0"/>
              <w:right w:val="single" w:color="auto" w:sz="4" w:space="0"/>
            </w:tcBorders>
            <w:noWrap w:val="0"/>
            <w:vAlign w:val="center"/>
          </w:tcPr>
          <w:p w14:paraId="02A68206">
            <w:pPr>
              <w:numPr>
                <w:ilvl w:val="0"/>
                <w:numId w:val="0"/>
              </w:numPr>
              <w:spacing w:line="400" w:lineRule="exact"/>
              <w:rPr>
                <w:rFonts w:hint="default" w:ascii="Times New Roman" w:hAnsi="Times New Roman" w:eastAsia="方正仿宋简体" w:cs="Times New Roman"/>
                <w:b/>
                <w:bCs/>
                <w:color w:val="000000"/>
                <w:szCs w:val="21"/>
              </w:rPr>
            </w:pPr>
            <w:r>
              <w:rPr>
                <w:rFonts w:hint="default" w:ascii="Times New Roman" w:hAnsi="Times New Roman" w:eastAsia="方正仿宋简体" w:cs="Times New Roman"/>
                <w:b/>
                <w:bCs/>
                <w:color w:val="000000"/>
                <w:szCs w:val="21"/>
                <w:lang w:val="en-US" w:eastAsia="zh-CN"/>
              </w:rPr>
              <w:t>1.</w:t>
            </w:r>
            <w:r>
              <w:rPr>
                <w:rFonts w:hint="default" w:ascii="Times New Roman" w:hAnsi="Times New Roman" w:eastAsia="方正仿宋简体" w:cs="Times New Roman"/>
                <w:b/>
                <w:bCs/>
                <w:color w:val="000000"/>
                <w:szCs w:val="21"/>
              </w:rPr>
              <w:t>房屋位置在太白湖新区许庄辖区内，用途应为“住宅”。</w:t>
            </w:r>
          </w:p>
          <w:p w14:paraId="4CDF3732">
            <w:pPr>
              <w:numPr>
                <w:ilvl w:val="0"/>
                <w:numId w:val="0"/>
              </w:numPr>
              <w:spacing w:line="400" w:lineRule="exact"/>
              <w:rPr>
                <w:rFonts w:hint="default" w:ascii="Times New Roman" w:hAnsi="Times New Roman" w:eastAsia="方正仿宋简体" w:cs="Times New Roman"/>
                <w:b/>
                <w:bCs/>
                <w:color w:val="000000"/>
                <w:szCs w:val="21"/>
              </w:rPr>
            </w:pPr>
            <w:r>
              <w:rPr>
                <w:rFonts w:hint="default" w:ascii="Times New Roman" w:hAnsi="Times New Roman" w:eastAsia="方正仿宋简体" w:cs="Times New Roman"/>
                <w:b/>
                <w:bCs/>
                <w:color w:val="000000"/>
                <w:szCs w:val="21"/>
                <w:lang w:val="en-US" w:eastAsia="zh-CN"/>
              </w:rPr>
              <w:t>2.</w:t>
            </w:r>
            <w:r>
              <w:rPr>
                <w:rFonts w:hint="default" w:ascii="Times New Roman" w:hAnsi="Times New Roman" w:eastAsia="方正仿宋简体" w:cs="Times New Roman"/>
                <w:b/>
                <w:bCs/>
                <w:color w:val="000000"/>
                <w:szCs w:val="21"/>
              </w:rPr>
              <w:t>《房屋所有权证》《不动产权证书》或小产权房所有人应为适龄儿童父母（或儿童本人），多人共有需其父母（或儿童本人）所占房屋产权比例不低于50％。</w:t>
            </w:r>
          </w:p>
          <w:p w14:paraId="7318FDA5">
            <w:pPr>
              <w:numPr>
                <w:ilvl w:val="0"/>
                <w:numId w:val="0"/>
              </w:numPr>
              <w:spacing w:line="400" w:lineRule="exact"/>
              <w:rPr>
                <w:rFonts w:hint="default" w:ascii="Times New Roman" w:hAnsi="Times New Roman" w:eastAsia="方正仿宋简体" w:cs="Times New Roman"/>
                <w:b/>
                <w:bCs/>
                <w:color w:val="000000"/>
                <w:szCs w:val="21"/>
              </w:rPr>
            </w:pPr>
            <w:r>
              <w:rPr>
                <w:rFonts w:hint="default" w:ascii="Times New Roman" w:hAnsi="Times New Roman" w:eastAsia="方正仿宋简体" w:cs="Times New Roman"/>
                <w:b/>
                <w:bCs/>
                <w:color w:val="000000"/>
                <w:szCs w:val="21"/>
                <w:lang w:val="en-US" w:eastAsia="zh-CN"/>
              </w:rPr>
              <w:t>3.</w:t>
            </w:r>
            <w:r>
              <w:rPr>
                <w:rFonts w:hint="default" w:ascii="Times New Roman" w:hAnsi="Times New Roman" w:eastAsia="方正仿宋简体" w:cs="Times New Roman"/>
                <w:b/>
                <w:bCs/>
                <w:color w:val="000000"/>
                <w:szCs w:val="21"/>
                <w:lang w:eastAsia="zh-CN"/>
              </w:rPr>
              <w:t>房产</w:t>
            </w:r>
            <w:r>
              <w:rPr>
                <w:rFonts w:hint="default" w:ascii="Times New Roman" w:hAnsi="Times New Roman" w:eastAsia="方正仿宋简体" w:cs="Times New Roman"/>
                <w:b/>
                <w:bCs/>
                <w:color w:val="000000"/>
                <w:szCs w:val="21"/>
              </w:rPr>
              <w:t>时间计算：购买一手房产的，以房产证明（含购房备案合同、《房屋所有权证</w:t>
            </w:r>
            <w:r>
              <w:rPr>
                <w:rFonts w:hint="eastAsia" w:eastAsia="方正仿宋简体" w:cs="Times New Roman"/>
                <w:b/>
                <w:bCs/>
                <w:color w:val="000000"/>
                <w:szCs w:val="21"/>
                <w:lang w:eastAsia="zh-CN"/>
              </w:rPr>
              <w:t>》《</w:t>
            </w:r>
            <w:r>
              <w:rPr>
                <w:rFonts w:hint="default" w:ascii="Times New Roman" w:hAnsi="Times New Roman" w:eastAsia="方正仿宋简体" w:cs="Times New Roman"/>
                <w:b/>
                <w:bCs/>
                <w:color w:val="000000"/>
                <w:szCs w:val="21"/>
              </w:rPr>
              <w:t>不动产权证书》）标注时间为</w:t>
            </w:r>
            <w:r>
              <w:rPr>
                <w:rFonts w:hint="default" w:ascii="Times New Roman" w:hAnsi="Times New Roman" w:eastAsia="方正仿宋简体" w:cs="Times New Roman"/>
                <w:b/>
                <w:bCs/>
                <w:color w:val="000000"/>
                <w:szCs w:val="21"/>
                <w:lang w:val="en-US" w:eastAsia="zh-CN"/>
              </w:rPr>
              <w:t>准</w:t>
            </w:r>
            <w:r>
              <w:rPr>
                <w:rFonts w:hint="default" w:ascii="Times New Roman" w:hAnsi="Times New Roman" w:eastAsia="方正仿宋简体" w:cs="Times New Roman"/>
                <w:b/>
                <w:bCs/>
                <w:color w:val="000000"/>
                <w:szCs w:val="21"/>
              </w:rPr>
              <w:t>；购买二手房产的，以产权转移办结后，新房产证明标注时间为</w:t>
            </w:r>
            <w:r>
              <w:rPr>
                <w:rFonts w:hint="default" w:ascii="Times New Roman" w:hAnsi="Times New Roman" w:eastAsia="方正仿宋简体" w:cs="Times New Roman"/>
                <w:b/>
                <w:bCs/>
                <w:color w:val="000000"/>
                <w:szCs w:val="21"/>
                <w:lang w:val="en-US" w:eastAsia="zh-CN"/>
              </w:rPr>
              <w:t>准</w:t>
            </w:r>
            <w:r>
              <w:rPr>
                <w:rFonts w:hint="default" w:ascii="Times New Roman" w:hAnsi="Times New Roman" w:eastAsia="方正仿宋简体" w:cs="Times New Roman"/>
                <w:b/>
                <w:bCs/>
                <w:color w:val="000000"/>
                <w:szCs w:val="21"/>
              </w:rPr>
              <w:t>。</w:t>
            </w:r>
          </w:p>
        </w:tc>
        <w:tc>
          <w:tcPr>
            <w:tcW w:w="2552" w:type="dxa"/>
            <w:vMerge w:val="restart"/>
            <w:tcBorders>
              <w:top w:val="single" w:color="auto" w:sz="4" w:space="0"/>
              <w:left w:val="single" w:color="auto" w:sz="4" w:space="0"/>
              <w:bottom w:val="single" w:color="auto" w:sz="4" w:space="0"/>
              <w:right w:val="single" w:color="auto" w:sz="4" w:space="0"/>
            </w:tcBorders>
            <w:noWrap w:val="0"/>
            <w:vAlign w:val="center"/>
          </w:tcPr>
          <w:p w14:paraId="6B548814">
            <w:pPr>
              <w:spacing w:line="400" w:lineRule="exact"/>
              <w:rPr>
                <w:rFonts w:hint="default" w:ascii="Times New Roman" w:hAnsi="Times New Roman" w:eastAsia="方正仿宋简体" w:cs="Times New Roman"/>
                <w:b/>
                <w:bCs/>
                <w:color w:val="000000"/>
                <w:szCs w:val="21"/>
                <w:lang w:eastAsia="zh-CN"/>
              </w:rPr>
            </w:pPr>
            <w:r>
              <w:rPr>
                <w:rFonts w:hint="eastAsia" w:eastAsia="方正仿宋简体" w:cs="Times New Roman"/>
                <w:b/>
                <w:bCs/>
                <w:color w:val="000000"/>
                <w:szCs w:val="21"/>
                <w:lang w:eastAsia="zh-CN"/>
              </w:rPr>
              <w:t>1.</w:t>
            </w:r>
            <w:r>
              <w:rPr>
                <w:rFonts w:hint="default" w:ascii="Times New Roman" w:hAnsi="Times New Roman" w:eastAsia="方正仿宋简体" w:cs="Times New Roman"/>
                <w:b/>
                <w:bCs/>
                <w:color w:val="000000"/>
                <w:szCs w:val="21"/>
              </w:rPr>
              <w:t>提供《房屋所有权证</w:t>
            </w:r>
            <w:r>
              <w:rPr>
                <w:rFonts w:hint="eastAsia" w:eastAsia="方正仿宋简体" w:cs="Times New Roman"/>
                <w:b/>
                <w:bCs/>
                <w:color w:val="000000"/>
                <w:szCs w:val="21"/>
                <w:lang w:eastAsia="zh-CN"/>
              </w:rPr>
              <w:t>》《</w:t>
            </w:r>
            <w:r>
              <w:rPr>
                <w:rFonts w:hint="default" w:ascii="Times New Roman" w:hAnsi="Times New Roman" w:eastAsia="方正仿宋简体" w:cs="Times New Roman"/>
                <w:b/>
                <w:bCs/>
                <w:color w:val="000000"/>
                <w:szCs w:val="21"/>
              </w:rPr>
              <w:t>不动产权证书》或网上系统备案查询确认书。</w:t>
            </w:r>
          </w:p>
          <w:p w14:paraId="74A21161">
            <w:pPr>
              <w:spacing w:line="400" w:lineRule="exact"/>
              <w:rPr>
                <w:rFonts w:hint="default" w:ascii="Times New Roman" w:hAnsi="Times New Roman" w:eastAsia="方正仿宋简体" w:cs="Times New Roman"/>
                <w:b/>
                <w:bCs/>
                <w:color w:val="000000"/>
                <w:szCs w:val="21"/>
              </w:rPr>
            </w:pPr>
            <w:r>
              <w:rPr>
                <w:rFonts w:hint="default" w:ascii="Times New Roman" w:hAnsi="Times New Roman" w:eastAsia="方正仿宋简体" w:cs="Times New Roman"/>
                <w:b/>
                <w:bCs/>
                <w:color w:val="000000"/>
                <w:szCs w:val="21"/>
              </w:rPr>
              <w:t>2.小产权房依据个人房产情况选择可提供的材料以证明房屋为自有产权。</w:t>
            </w:r>
          </w:p>
        </w:tc>
        <w:tc>
          <w:tcPr>
            <w:tcW w:w="1134" w:type="dxa"/>
            <w:vMerge w:val="restart"/>
            <w:tcBorders>
              <w:top w:val="single" w:color="auto" w:sz="4" w:space="0"/>
              <w:left w:val="single" w:color="auto" w:sz="4" w:space="0"/>
              <w:bottom w:val="single" w:color="auto" w:sz="4" w:space="0"/>
              <w:right w:val="single" w:color="auto" w:sz="4" w:space="0"/>
            </w:tcBorders>
            <w:noWrap w:val="0"/>
            <w:vAlign w:val="center"/>
          </w:tcPr>
          <w:p w14:paraId="1FE6C57C">
            <w:pPr>
              <w:spacing w:line="400" w:lineRule="exact"/>
              <w:jc w:val="center"/>
              <w:rPr>
                <w:rFonts w:hint="default" w:ascii="Times New Roman" w:hAnsi="Times New Roman" w:eastAsia="方正仿宋简体" w:cs="Times New Roman"/>
                <w:b/>
                <w:bCs/>
                <w:color w:val="000000"/>
                <w:szCs w:val="21"/>
                <w:lang w:eastAsia="zh-CN"/>
              </w:rPr>
            </w:pPr>
            <w:r>
              <w:rPr>
                <w:rFonts w:hint="default" w:ascii="Times New Roman" w:hAnsi="Times New Roman" w:eastAsia="方正仿宋简体" w:cs="Times New Roman"/>
                <w:b/>
                <w:bCs/>
                <w:color w:val="000000"/>
                <w:szCs w:val="21"/>
              </w:rPr>
              <w:t>住建部门</w:t>
            </w:r>
          </w:p>
          <w:p w14:paraId="028BE5AA">
            <w:pPr>
              <w:spacing w:line="400" w:lineRule="exact"/>
              <w:jc w:val="center"/>
              <w:rPr>
                <w:rFonts w:hint="default" w:ascii="Times New Roman" w:hAnsi="Times New Roman" w:eastAsia="方正仿宋简体" w:cs="Times New Roman"/>
                <w:b/>
                <w:bCs/>
                <w:color w:val="000000"/>
                <w:szCs w:val="21"/>
              </w:rPr>
            </w:pPr>
            <w:r>
              <w:rPr>
                <w:rFonts w:hint="default" w:ascii="Times New Roman" w:hAnsi="Times New Roman" w:eastAsia="方正仿宋简体" w:cs="Times New Roman"/>
                <w:b/>
                <w:bCs/>
                <w:color w:val="000000"/>
                <w:szCs w:val="21"/>
              </w:rPr>
              <w:t>税务部门</w:t>
            </w:r>
          </w:p>
        </w:tc>
        <w:tc>
          <w:tcPr>
            <w:tcW w:w="1172" w:type="dxa"/>
            <w:vMerge w:val="restart"/>
            <w:tcBorders>
              <w:top w:val="single" w:color="auto" w:sz="4" w:space="0"/>
              <w:left w:val="single" w:color="auto" w:sz="4" w:space="0"/>
              <w:bottom w:val="single" w:color="auto" w:sz="4" w:space="0"/>
              <w:right w:val="single" w:color="auto" w:sz="4" w:space="0"/>
            </w:tcBorders>
            <w:noWrap w:val="0"/>
            <w:vAlign w:val="center"/>
          </w:tcPr>
          <w:p w14:paraId="51D2EE06">
            <w:pPr>
              <w:spacing w:line="400" w:lineRule="exact"/>
              <w:jc w:val="center"/>
              <w:rPr>
                <w:rFonts w:hint="default" w:ascii="Times New Roman" w:hAnsi="Times New Roman" w:eastAsia="方正仿宋简体" w:cs="Times New Roman"/>
                <w:b/>
                <w:bCs/>
                <w:color w:val="000000"/>
                <w:szCs w:val="21"/>
              </w:rPr>
            </w:pPr>
            <w:r>
              <w:rPr>
                <w:rFonts w:hint="default" w:ascii="Times New Roman" w:hAnsi="Times New Roman" w:eastAsia="方正仿宋简体" w:cs="Times New Roman"/>
                <w:b/>
                <w:bCs/>
                <w:color w:val="000000"/>
                <w:szCs w:val="21"/>
              </w:rPr>
              <w:t>需实际入住（不受满</w:t>
            </w:r>
            <w:r>
              <w:rPr>
                <w:rFonts w:hint="default" w:ascii="Times New Roman" w:hAnsi="Times New Roman" w:eastAsia="方正仿宋简体" w:cs="Times New Roman"/>
                <w:b/>
                <w:bCs/>
                <w:color w:val="000000"/>
                <w:szCs w:val="21"/>
                <w:lang w:val="en-US" w:eastAsia="zh-CN"/>
              </w:rPr>
              <w:t>12</w:t>
            </w:r>
            <w:r>
              <w:rPr>
                <w:rFonts w:hint="default" w:ascii="Times New Roman" w:hAnsi="Times New Roman" w:eastAsia="方正仿宋简体" w:cs="Times New Roman"/>
                <w:b/>
                <w:bCs/>
                <w:color w:val="000000"/>
                <w:szCs w:val="21"/>
              </w:rPr>
              <w:t>个月时间限制）</w:t>
            </w:r>
          </w:p>
        </w:tc>
      </w:tr>
      <w:tr w14:paraId="4950BA31">
        <w:tblPrEx>
          <w:tblCellMar>
            <w:top w:w="0" w:type="dxa"/>
            <w:left w:w="108" w:type="dxa"/>
            <w:bottom w:w="0" w:type="dxa"/>
            <w:right w:w="108" w:type="dxa"/>
          </w:tblCellMar>
        </w:tblPrEx>
        <w:trPr>
          <w:trHeight w:val="3504" w:hRule="atLeast"/>
          <w:jc w:val="center"/>
        </w:trPr>
        <w:tc>
          <w:tcPr>
            <w:tcW w:w="640" w:type="dxa"/>
            <w:vMerge w:val="continue"/>
            <w:tcBorders>
              <w:top w:val="single" w:color="auto" w:sz="4" w:space="0"/>
              <w:left w:val="single" w:color="auto" w:sz="4" w:space="0"/>
              <w:bottom w:val="single" w:color="auto" w:sz="4" w:space="0"/>
              <w:right w:val="single" w:color="auto" w:sz="4" w:space="0"/>
            </w:tcBorders>
            <w:noWrap w:val="0"/>
            <w:vAlign w:val="center"/>
          </w:tcPr>
          <w:p w14:paraId="6D4FF454">
            <w:pPr>
              <w:spacing w:line="400" w:lineRule="exact"/>
              <w:rPr>
                <w:rFonts w:hint="default" w:ascii="Times New Roman" w:hAnsi="Times New Roman" w:eastAsia="方正仿宋简体" w:cs="Times New Roman"/>
                <w:b/>
                <w:bCs/>
                <w:color w:val="000000"/>
                <w:szCs w:val="21"/>
              </w:rPr>
            </w:pPr>
          </w:p>
        </w:tc>
        <w:tc>
          <w:tcPr>
            <w:tcW w:w="786" w:type="dxa"/>
            <w:vMerge w:val="continue"/>
            <w:tcBorders>
              <w:top w:val="single" w:color="auto" w:sz="4" w:space="0"/>
              <w:left w:val="single" w:color="auto" w:sz="4" w:space="0"/>
              <w:bottom w:val="single" w:color="auto" w:sz="4" w:space="0"/>
              <w:right w:val="single" w:color="auto" w:sz="4" w:space="0"/>
            </w:tcBorders>
            <w:noWrap w:val="0"/>
            <w:vAlign w:val="center"/>
          </w:tcPr>
          <w:p w14:paraId="33F6A108">
            <w:pPr>
              <w:spacing w:line="400" w:lineRule="exact"/>
              <w:rPr>
                <w:rFonts w:hint="default" w:ascii="Times New Roman" w:hAnsi="Times New Roman" w:eastAsia="方正仿宋简体" w:cs="Times New Roman"/>
                <w:b/>
                <w:bCs/>
                <w:color w:val="000000"/>
                <w:szCs w:val="21"/>
              </w:rPr>
            </w:pPr>
          </w:p>
        </w:tc>
        <w:tc>
          <w:tcPr>
            <w:tcW w:w="708" w:type="dxa"/>
            <w:vMerge w:val="continue"/>
            <w:tcBorders>
              <w:top w:val="single" w:color="auto" w:sz="4" w:space="0"/>
              <w:left w:val="single" w:color="auto" w:sz="4" w:space="0"/>
              <w:bottom w:val="single" w:color="auto" w:sz="4" w:space="0"/>
              <w:right w:val="single" w:color="auto" w:sz="4" w:space="0"/>
            </w:tcBorders>
            <w:noWrap w:val="0"/>
            <w:vAlign w:val="center"/>
          </w:tcPr>
          <w:p w14:paraId="44EC0A9E">
            <w:pPr>
              <w:spacing w:line="400" w:lineRule="exact"/>
              <w:rPr>
                <w:rFonts w:hint="default" w:ascii="Times New Roman" w:hAnsi="Times New Roman" w:eastAsia="方正仿宋简体" w:cs="Times New Roman"/>
                <w:b/>
                <w:bCs/>
                <w:color w:val="000000"/>
                <w:szCs w:val="21"/>
              </w:rPr>
            </w:pPr>
          </w:p>
        </w:tc>
        <w:tc>
          <w:tcPr>
            <w:tcW w:w="1985" w:type="dxa"/>
            <w:tcBorders>
              <w:top w:val="single" w:color="auto" w:sz="4" w:space="0"/>
              <w:left w:val="single" w:color="auto" w:sz="4" w:space="0"/>
              <w:bottom w:val="single" w:color="auto" w:sz="4" w:space="0"/>
              <w:right w:val="single" w:color="auto" w:sz="4" w:space="0"/>
            </w:tcBorders>
            <w:noWrap w:val="0"/>
            <w:vAlign w:val="center"/>
          </w:tcPr>
          <w:p w14:paraId="217051BE">
            <w:pPr>
              <w:spacing w:line="400" w:lineRule="exact"/>
              <w:rPr>
                <w:rFonts w:hint="default" w:ascii="Times New Roman" w:hAnsi="Times New Roman" w:eastAsia="方正仿宋简体" w:cs="Times New Roman"/>
                <w:b/>
                <w:bCs/>
                <w:color w:val="000000"/>
                <w:szCs w:val="21"/>
              </w:rPr>
            </w:pPr>
            <w:r>
              <w:rPr>
                <w:rFonts w:hint="default" w:ascii="Times New Roman" w:hAnsi="Times New Roman" w:eastAsia="方正仿宋简体" w:cs="Times New Roman"/>
                <w:b/>
                <w:bCs/>
                <w:color w:val="000000"/>
                <w:szCs w:val="21"/>
              </w:rPr>
              <w:t>小产权房。每月计0.4分，最高不超过15分。</w:t>
            </w:r>
          </w:p>
        </w:tc>
        <w:tc>
          <w:tcPr>
            <w:tcW w:w="5953" w:type="dxa"/>
            <w:vMerge w:val="continue"/>
            <w:tcBorders>
              <w:top w:val="single" w:color="auto" w:sz="4" w:space="0"/>
              <w:left w:val="single" w:color="auto" w:sz="4" w:space="0"/>
              <w:bottom w:val="single" w:color="auto" w:sz="4" w:space="0"/>
              <w:right w:val="single" w:color="auto" w:sz="4" w:space="0"/>
            </w:tcBorders>
            <w:noWrap w:val="0"/>
            <w:vAlign w:val="center"/>
          </w:tcPr>
          <w:p w14:paraId="49DB9F40">
            <w:pPr>
              <w:spacing w:line="400" w:lineRule="exact"/>
              <w:rPr>
                <w:rFonts w:hint="default" w:ascii="Times New Roman" w:hAnsi="Times New Roman" w:eastAsia="方正仿宋简体" w:cs="Times New Roman"/>
                <w:b/>
                <w:bCs/>
                <w:color w:val="000000"/>
                <w:szCs w:val="21"/>
              </w:rPr>
            </w:pPr>
          </w:p>
        </w:tc>
        <w:tc>
          <w:tcPr>
            <w:tcW w:w="2552" w:type="dxa"/>
            <w:vMerge w:val="continue"/>
            <w:tcBorders>
              <w:top w:val="single" w:color="auto" w:sz="4" w:space="0"/>
              <w:left w:val="single" w:color="auto" w:sz="4" w:space="0"/>
              <w:bottom w:val="single" w:color="auto" w:sz="4" w:space="0"/>
              <w:right w:val="single" w:color="auto" w:sz="4" w:space="0"/>
            </w:tcBorders>
            <w:noWrap w:val="0"/>
            <w:vAlign w:val="center"/>
          </w:tcPr>
          <w:p w14:paraId="45C57DF7">
            <w:pPr>
              <w:spacing w:line="400" w:lineRule="exact"/>
              <w:rPr>
                <w:rFonts w:hint="default" w:ascii="Times New Roman" w:hAnsi="Times New Roman" w:eastAsia="方正仿宋简体" w:cs="Times New Roman"/>
                <w:b/>
                <w:bCs/>
                <w:color w:val="000000"/>
                <w:szCs w:val="21"/>
              </w:rPr>
            </w:pPr>
          </w:p>
        </w:tc>
        <w:tc>
          <w:tcPr>
            <w:tcW w:w="1134" w:type="dxa"/>
            <w:vMerge w:val="continue"/>
            <w:tcBorders>
              <w:top w:val="single" w:color="auto" w:sz="4" w:space="0"/>
              <w:left w:val="single" w:color="auto" w:sz="4" w:space="0"/>
              <w:bottom w:val="single" w:color="auto" w:sz="4" w:space="0"/>
              <w:right w:val="single" w:color="auto" w:sz="4" w:space="0"/>
            </w:tcBorders>
            <w:noWrap w:val="0"/>
            <w:vAlign w:val="center"/>
          </w:tcPr>
          <w:p w14:paraId="2EC13090">
            <w:pPr>
              <w:spacing w:line="400" w:lineRule="exact"/>
              <w:rPr>
                <w:rFonts w:hint="default" w:ascii="Times New Roman" w:hAnsi="Times New Roman" w:eastAsia="方正仿宋简体" w:cs="Times New Roman"/>
                <w:b/>
                <w:bCs/>
                <w:color w:val="000000"/>
                <w:szCs w:val="21"/>
              </w:rPr>
            </w:pPr>
          </w:p>
        </w:tc>
        <w:tc>
          <w:tcPr>
            <w:tcW w:w="1172" w:type="dxa"/>
            <w:vMerge w:val="continue"/>
            <w:tcBorders>
              <w:top w:val="single" w:color="auto" w:sz="4" w:space="0"/>
              <w:left w:val="single" w:color="auto" w:sz="4" w:space="0"/>
              <w:bottom w:val="single" w:color="auto" w:sz="4" w:space="0"/>
              <w:right w:val="single" w:color="auto" w:sz="4" w:space="0"/>
            </w:tcBorders>
            <w:noWrap w:val="0"/>
            <w:vAlign w:val="center"/>
          </w:tcPr>
          <w:p w14:paraId="4B1E7700">
            <w:pPr>
              <w:spacing w:line="400" w:lineRule="exact"/>
              <w:rPr>
                <w:rFonts w:hint="default" w:ascii="Times New Roman" w:hAnsi="Times New Roman" w:eastAsia="方正仿宋简体" w:cs="Times New Roman"/>
                <w:b/>
                <w:bCs/>
                <w:color w:val="000000"/>
                <w:szCs w:val="21"/>
              </w:rPr>
            </w:pPr>
          </w:p>
        </w:tc>
      </w:tr>
      <w:tr w14:paraId="76677940">
        <w:tblPrEx>
          <w:tblCellMar>
            <w:top w:w="0" w:type="dxa"/>
            <w:left w:w="108" w:type="dxa"/>
            <w:bottom w:w="0" w:type="dxa"/>
            <w:right w:w="108" w:type="dxa"/>
          </w:tblCellMar>
        </w:tblPrEx>
        <w:trPr>
          <w:trHeight w:val="90" w:hRule="atLeast"/>
          <w:jc w:val="center"/>
        </w:trPr>
        <w:tc>
          <w:tcPr>
            <w:tcW w:w="640" w:type="dxa"/>
            <w:vMerge w:val="continue"/>
            <w:tcBorders>
              <w:top w:val="single" w:color="auto" w:sz="4" w:space="0"/>
              <w:left w:val="single" w:color="auto" w:sz="4" w:space="0"/>
              <w:bottom w:val="single" w:color="auto" w:sz="4" w:space="0"/>
              <w:right w:val="single" w:color="auto" w:sz="4" w:space="0"/>
            </w:tcBorders>
            <w:noWrap w:val="0"/>
            <w:vAlign w:val="center"/>
          </w:tcPr>
          <w:p w14:paraId="271A1A4D">
            <w:pPr>
              <w:spacing w:line="400" w:lineRule="exact"/>
              <w:rPr>
                <w:rFonts w:hint="default" w:ascii="Times New Roman" w:hAnsi="Times New Roman" w:eastAsia="方正仿宋简体" w:cs="Times New Roman"/>
                <w:b/>
                <w:bCs/>
                <w:color w:val="000000"/>
                <w:szCs w:val="21"/>
              </w:rPr>
            </w:pPr>
          </w:p>
        </w:tc>
        <w:tc>
          <w:tcPr>
            <w:tcW w:w="786" w:type="dxa"/>
            <w:vMerge w:val="continue"/>
            <w:tcBorders>
              <w:top w:val="single" w:color="auto" w:sz="4" w:space="0"/>
              <w:left w:val="single" w:color="auto" w:sz="4" w:space="0"/>
              <w:bottom w:val="single" w:color="auto" w:sz="4" w:space="0"/>
              <w:right w:val="single" w:color="auto" w:sz="4" w:space="0"/>
            </w:tcBorders>
            <w:noWrap w:val="0"/>
            <w:vAlign w:val="center"/>
          </w:tcPr>
          <w:p w14:paraId="5E6E01F3">
            <w:pPr>
              <w:spacing w:line="400" w:lineRule="exact"/>
              <w:rPr>
                <w:rFonts w:hint="default" w:ascii="Times New Roman" w:hAnsi="Times New Roman" w:eastAsia="方正仿宋简体" w:cs="Times New Roman"/>
                <w:b/>
                <w:bCs/>
                <w:color w:val="000000"/>
                <w:szCs w:val="21"/>
              </w:rPr>
            </w:pPr>
          </w:p>
        </w:tc>
        <w:tc>
          <w:tcPr>
            <w:tcW w:w="708" w:type="dxa"/>
            <w:tcBorders>
              <w:top w:val="single" w:color="auto" w:sz="4" w:space="0"/>
              <w:left w:val="single" w:color="auto" w:sz="4" w:space="0"/>
              <w:bottom w:val="single" w:color="auto" w:sz="4" w:space="0"/>
              <w:right w:val="single" w:color="auto" w:sz="4" w:space="0"/>
            </w:tcBorders>
            <w:noWrap w:val="0"/>
            <w:vAlign w:val="center"/>
          </w:tcPr>
          <w:p w14:paraId="0DF1FA82">
            <w:pPr>
              <w:spacing w:line="400" w:lineRule="exact"/>
              <w:rPr>
                <w:rFonts w:hint="default" w:ascii="Times New Roman" w:hAnsi="Times New Roman" w:eastAsia="方正仿宋简体" w:cs="Times New Roman"/>
                <w:b/>
                <w:bCs/>
                <w:color w:val="000000"/>
                <w:szCs w:val="21"/>
              </w:rPr>
            </w:pPr>
            <w:r>
              <w:rPr>
                <w:rFonts w:hint="default" w:ascii="Times New Roman" w:hAnsi="Times New Roman" w:eastAsia="方正仿宋简体" w:cs="Times New Roman"/>
                <w:b/>
                <w:bCs/>
                <w:color w:val="000000"/>
                <w:szCs w:val="21"/>
              </w:rPr>
              <w:t>租房</w:t>
            </w:r>
          </w:p>
        </w:tc>
        <w:tc>
          <w:tcPr>
            <w:tcW w:w="1985" w:type="dxa"/>
            <w:tcBorders>
              <w:top w:val="single" w:color="auto" w:sz="4" w:space="0"/>
              <w:left w:val="single" w:color="auto" w:sz="4" w:space="0"/>
              <w:bottom w:val="single" w:color="auto" w:sz="4" w:space="0"/>
              <w:right w:val="single" w:color="auto" w:sz="4" w:space="0"/>
            </w:tcBorders>
            <w:noWrap w:val="0"/>
            <w:vAlign w:val="center"/>
          </w:tcPr>
          <w:p w14:paraId="295E6033">
            <w:pPr>
              <w:spacing w:line="400" w:lineRule="exact"/>
              <w:rPr>
                <w:rFonts w:hint="default" w:ascii="Times New Roman" w:hAnsi="Times New Roman" w:eastAsia="方正仿宋简体" w:cs="Times New Roman"/>
                <w:b/>
                <w:bCs/>
                <w:color w:val="000000"/>
                <w:szCs w:val="21"/>
              </w:rPr>
            </w:pPr>
            <w:r>
              <w:rPr>
                <w:rFonts w:hint="default" w:ascii="Times New Roman" w:hAnsi="Times New Roman" w:eastAsia="方正仿宋简体" w:cs="Times New Roman"/>
                <w:b/>
                <w:bCs/>
                <w:color w:val="000000"/>
                <w:szCs w:val="21"/>
              </w:rPr>
              <w:t>每月计0.25分，最高不超过</w:t>
            </w:r>
            <w:r>
              <w:rPr>
                <w:rFonts w:hint="default" w:ascii="Times New Roman" w:hAnsi="Times New Roman" w:eastAsia="方正仿宋简体" w:cs="Times New Roman"/>
                <w:b/>
                <w:bCs/>
                <w:color w:val="000000"/>
                <w:szCs w:val="21"/>
                <w:lang w:val="en-US" w:eastAsia="zh-CN"/>
              </w:rPr>
              <w:t>9</w:t>
            </w:r>
            <w:r>
              <w:rPr>
                <w:rFonts w:hint="default" w:ascii="Times New Roman" w:hAnsi="Times New Roman" w:eastAsia="方正仿宋简体" w:cs="Times New Roman"/>
                <w:b/>
                <w:bCs/>
                <w:color w:val="000000"/>
                <w:szCs w:val="21"/>
              </w:rPr>
              <w:t>分。</w:t>
            </w:r>
          </w:p>
        </w:tc>
        <w:tc>
          <w:tcPr>
            <w:tcW w:w="5953" w:type="dxa"/>
            <w:tcBorders>
              <w:top w:val="single" w:color="auto" w:sz="4" w:space="0"/>
              <w:left w:val="single" w:color="auto" w:sz="4" w:space="0"/>
              <w:bottom w:val="single" w:color="auto" w:sz="4" w:space="0"/>
              <w:right w:val="single" w:color="auto" w:sz="4" w:space="0"/>
            </w:tcBorders>
            <w:noWrap w:val="0"/>
            <w:vAlign w:val="center"/>
          </w:tcPr>
          <w:p w14:paraId="7F876055">
            <w:pPr>
              <w:spacing w:line="400" w:lineRule="exact"/>
              <w:rPr>
                <w:rFonts w:hint="default" w:ascii="Times New Roman" w:hAnsi="Times New Roman" w:eastAsia="方正仿宋简体" w:cs="Times New Roman"/>
                <w:b/>
                <w:bCs/>
                <w:color w:val="000000"/>
                <w:szCs w:val="21"/>
                <w:lang w:eastAsia="zh-CN"/>
              </w:rPr>
            </w:pPr>
            <w:r>
              <w:rPr>
                <w:rFonts w:hint="default" w:ascii="Times New Roman" w:hAnsi="Times New Roman" w:eastAsia="方正仿宋简体" w:cs="Times New Roman"/>
                <w:b/>
                <w:bCs/>
                <w:color w:val="000000"/>
                <w:szCs w:val="21"/>
              </w:rPr>
              <w:t>1.所租房屋应为“住宅”，位置在太白湖新区许庄辖区内，住所应适宜居住，安全有保障。</w:t>
            </w:r>
          </w:p>
          <w:p w14:paraId="30BC3302">
            <w:pPr>
              <w:spacing w:line="400" w:lineRule="exact"/>
              <w:rPr>
                <w:rFonts w:hint="default" w:ascii="Times New Roman" w:hAnsi="Times New Roman" w:eastAsia="方正仿宋简体" w:cs="Times New Roman"/>
                <w:b/>
                <w:bCs/>
                <w:color w:val="000000"/>
                <w:szCs w:val="21"/>
              </w:rPr>
            </w:pPr>
            <w:r>
              <w:rPr>
                <w:rFonts w:hint="default" w:ascii="Times New Roman" w:hAnsi="Times New Roman" w:eastAsia="方正仿宋简体" w:cs="Times New Roman"/>
                <w:b/>
                <w:bCs/>
                <w:color w:val="000000"/>
                <w:szCs w:val="21"/>
              </w:rPr>
              <w:t>2.时间计算：签订房屋租赁合同并办理《房屋租赁证明》，截止时间为当年</w:t>
            </w:r>
            <w:r>
              <w:rPr>
                <w:rFonts w:hint="default" w:ascii="Times New Roman" w:hAnsi="Times New Roman" w:eastAsia="方正仿宋简体" w:cs="Times New Roman"/>
                <w:b/>
                <w:bCs/>
                <w:color w:val="000000"/>
                <w:szCs w:val="21"/>
                <w:lang w:val="en-US" w:eastAsia="zh-CN"/>
              </w:rPr>
              <w:t>7</w:t>
            </w:r>
            <w:r>
              <w:rPr>
                <w:rFonts w:hint="default" w:ascii="Times New Roman" w:hAnsi="Times New Roman" w:eastAsia="方正仿宋简体" w:cs="Times New Roman"/>
                <w:b/>
                <w:bCs/>
                <w:color w:val="000000"/>
                <w:szCs w:val="21"/>
              </w:rPr>
              <w:t>月</w:t>
            </w:r>
            <w:r>
              <w:rPr>
                <w:rFonts w:hint="default" w:ascii="Times New Roman" w:hAnsi="Times New Roman" w:eastAsia="方正仿宋简体" w:cs="Times New Roman"/>
                <w:b/>
                <w:bCs/>
                <w:color w:val="000000"/>
                <w:szCs w:val="21"/>
                <w:lang w:val="en-US" w:eastAsia="zh-CN"/>
              </w:rPr>
              <w:t>31</w:t>
            </w:r>
            <w:r>
              <w:rPr>
                <w:rFonts w:hint="default" w:ascii="Times New Roman" w:hAnsi="Times New Roman" w:eastAsia="方正仿宋简体" w:cs="Times New Roman"/>
                <w:b/>
                <w:bCs/>
                <w:color w:val="000000"/>
                <w:szCs w:val="21"/>
              </w:rPr>
              <w:t>日。</w:t>
            </w:r>
          </w:p>
          <w:p w14:paraId="0AA315D7">
            <w:pPr>
              <w:spacing w:line="400" w:lineRule="exact"/>
              <w:rPr>
                <w:rFonts w:hint="default" w:ascii="Times New Roman" w:hAnsi="Times New Roman" w:eastAsia="方正仿宋简体" w:cs="Times New Roman"/>
                <w:b/>
                <w:bCs/>
                <w:color w:val="000000"/>
                <w:szCs w:val="21"/>
                <w:lang w:val="en-US" w:eastAsia="zh-CN"/>
              </w:rPr>
            </w:pPr>
            <w:r>
              <w:rPr>
                <w:rFonts w:hint="eastAsia" w:eastAsia="方正仿宋简体" w:cs="Times New Roman"/>
                <w:b/>
                <w:bCs/>
                <w:color w:val="000000"/>
                <w:szCs w:val="21"/>
                <w:lang w:val="en-US" w:eastAsia="zh-CN"/>
              </w:rPr>
              <w:t xml:space="preserve">3. </w:t>
            </w:r>
            <w:r>
              <w:rPr>
                <w:rFonts w:hint="default" w:ascii="Times New Roman" w:hAnsi="Times New Roman" w:eastAsia="方正仿宋简体" w:cs="Times New Roman"/>
                <w:b/>
                <w:bCs/>
                <w:color w:val="000000"/>
                <w:szCs w:val="21"/>
                <w:lang w:val="en-US" w:eastAsia="zh-CN"/>
              </w:rPr>
              <w:t>以租房作为入学条件的适龄儿童，监护人必须提供名下无自有房产的房产证明。</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67937C7C">
            <w:pPr>
              <w:spacing w:line="400" w:lineRule="exact"/>
              <w:rPr>
                <w:rFonts w:hint="default" w:ascii="Times New Roman" w:hAnsi="Times New Roman" w:eastAsia="方正仿宋简体" w:cs="Times New Roman"/>
                <w:b/>
                <w:bCs/>
                <w:color w:val="000000"/>
                <w:szCs w:val="21"/>
                <w:lang w:eastAsia="zh-CN"/>
              </w:rPr>
            </w:pPr>
            <w:r>
              <w:rPr>
                <w:rFonts w:hint="default" w:ascii="Times New Roman" w:hAnsi="Times New Roman" w:eastAsia="方正仿宋简体" w:cs="Times New Roman"/>
                <w:b/>
                <w:bCs/>
                <w:color w:val="000000"/>
                <w:szCs w:val="21"/>
              </w:rPr>
              <w:t>1.提供《房屋租赁证</w:t>
            </w:r>
            <w:r>
              <w:rPr>
                <w:rFonts w:hint="eastAsia" w:eastAsia="方正仿宋简体" w:cs="Times New Roman"/>
                <w:b/>
                <w:bCs/>
                <w:color w:val="000000"/>
                <w:szCs w:val="21"/>
                <w:lang w:val="en-US" w:eastAsia="zh-CN"/>
              </w:rPr>
              <w:t>明</w:t>
            </w:r>
            <w:bookmarkStart w:id="0" w:name="_GoBack"/>
            <w:bookmarkEnd w:id="0"/>
            <w:r>
              <w:rPr>
                <w:rFonts w:hint="default" w:ascii="Times New Roman" w:hAnsi="Times New Roman" w:eastAsia="方正仿宋简体" w:cs="Times New Roman"/>
                <w:b/>
                <w:bCs/>
                <w:color w:val="000000"/>
                <w:szCs w:val="21"/>
              </w:rPr>
              <w:t>》和租赁期一年以上的房屋租赁合同。</w:t>
            </w:r>
          </w:p>
          <w:p w14:paraId="0FE1D868">
            <w:pPr>
              <w:spacing w:line="400" w:lineRule="exact"/>
              <w:rPr>
                <w:rFonts w:hint="default" w:ascii="Times New Roman" w:hAnsi="Times New Roman" w:eastAsia="方正仿宋简体" w:cs="Times New Roman"/>
                <w:b/>
                <w:bCs/>
                <w:color w:val="000000"/>
                <w:szCs w:val="21"/>
              </w:rPr>
            </w:pPr>
            <w:r>
              <w:rPr>
                <w:rFonts w:hint="default" w:ascii="Times New Roman" w:hAnsi="Times New Roman" w:eastAsia="方正仿宋简体" w:cs="Times New Roman"/>
                <w:b/>
                <w:bCs/>
                <w:color w:val="000000"/>
                <w:szCs w:val="21"/>
              </w:rPr>
              <w:t>2.房屋出租者身份证原件或复印件、房产证明。</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7E23E09">
            <w:pPr>
              <w:spacing w:line="400" w:lineRule="exact"/>
              <w:rPr>
                <w:rFonts w:hint="default" w:ascii="Times New Roman" w:hAnsi="Times New Roman" w:eastAsia="方正仿宋简体" w:cs="Times New Roman"/>
                <w:b/>
                <w:bCs/>
                <w:color w:val="000000"/>
                <w:szCs w:val="21"/>
              </w:rPr>
            </w:pPr>
          </w:p>
        </w:tc>
        <w:tc>
          <w:tcPr>
            <w:tcW w:w="1172" w:type="dxa"/>
            <w:tcBorders>
              <w:top w:val="single" w:color="auto" w:sz="4" w:space="0"/>
              <w:left w:val="single" w:color="auto" w:sz="4" w:space="0"/>
              <w:bottom w:val="single" w:color="auto" w:sz="4" w:space="0"/>
              <w:right w:val="single" w:color="auto" w:sz="4" w:space="0"/>
            </w:tcBorders>
            <w:noWrap w:val="0"/>
            <w:vAlign w:val="center"/>
          </w:tcPr>
          <w:p w14:paraId="2547FAAC">
            <w:pPr>
              <w:spacing w:line="400" w:lineRule="exact"/>
              <w:jc w:val="center"/>
              <w:rPr>
                <w:rFonts w:hint="default" w:ascii="Times New Roman" w:hAnsi="Times New Roman" w:eastAsia="方正仿宋简体" w:cs="Times New Roman"/>
                <w:b/>
                <w:bCs/>
                <w:color w:val="000000"/>
                <w:szCs w:val="21"/>
              </w:rPr>
            </w:pPr>
            <w:r>
              <w:rPr>
                <w:rFonts w:hint="default" w:ascii="Times New Roman" w:hAnsi="Times New Roman" w:eastAsia="方正仿宋简体" w:cs="Times New Roman"/>
                <w:b/>
                <w:bCs/>
                <w:color w:val="000000"/>
                <w:szCs w:val="21"/>
              </w:rPr>
              <w:t>最近连续租赁并实际入住</w:t>
            </w:r>
            <w:r>
              <w:rPr>
                <w:rFonts w:hint="default" w:ascii="Times New Roman" w:hAnsi="Times New Roman" w:eastAsia="方正仿宋简体" w:cs="Times New Roman"/>
                <w:b/>
                <w:bCs/>
                <w:color w:val="000000"/>
                <w:szCs w:val="21"/>
                <w:lang w:val="en-US" w:eastAsia="zh-CN"/>
              </w:rPr>
              <w:t>满6</w:t>
            </w:r>
            <w:r>
              <w:rPr>
                <w:rFonts w:hint="default" w:ascii="Times New Roman" w:hAnsi="Times New Roman" w:eastAsia="方正仿宋简体" w:cs="Times New Roman"/>
                <w:b/>
                <w:bCs/>
                <w:color w:val="000000"/>
                <w:szCs w:val="21"/>
              </w:rPr>
              <w:t>个月</w:t>
            </w:r>
          </w:p>
        </w:tc>
      </w:tr>
      <w:tr w14:paraId="3C0CACC7">
        <w:tblPrEx>
          <w:tblCellMar>
            <w:top w:w="0" w:type="dxa"/>
            <w:left w:w="108" w:type="dxa"/>
            <w:bottom w:w="0" w:type="dxa"/>
            <w:right w:w="108" w:type="dxa"/>
          </w:tblCellMar>
        </w:tblPrEx>
        <w:trPr>
          <w:trHeight w:val="3825" w:hRule="atLeast"/>
          <w:jc w:val="center"/>
        </w:trPr>
        <w:tc>
          <w:tcPr>
            <w:tcW w:w="640" w:type="dxa"/>
            <w:vMerge w:val="restart"/>
            <w:tcBorders>
              <w:top w:val="single" w:color="auto" w:sz="4" w:space="0"/>
              <w:left w:val="single" w:color="auto" w:sz="4" w:space="0"/>
              <w:bottom w:val="single" w:color="auto" w:sz="4" w:space="0"/>
              <w:right w:val="single" w:color="auto" w:sz="4" w:space="0"/>
            </w:tcBorders>
            <w:noWrap w:val="0"/>
            <w:vAlign w:val="center"/>
          </w:tcPr>
          <w:p w14:paraId="529423A3">
            <w:pPr>
              <w:spacing w:line="400" w:lineRule="exact"/>
              <w:jc w:val="center"/>
              <w:rPr>
                <w:rFonts w:hint="default" w:ascii="Times New Roman" w:hAnsi="Times New Roman" w:eastAsia="方正仿宋简体" w:cs="Times New Roman"/>
                <w:b/>
                <w:bCs/>
                <w:color w:val="000000"/>
                <w:szCs w:val="21"/>
              </w:rPr>
            </w:pPr>
            <w:r>
              <w:rPr>
                <w:rFonts w:hint="default" w:ascii="Times New Roman" w:hAnsi="Times New Roman" w:eastAsia="方正仿宋简体" w:cs="Times New Roman"/>
                <w:b/>
                <w:bCs/>
                <w:color w:val="000000"/>
                <w:szCs w:val="21"/>
              </w:rPr>
              <w:t>2</w:t>
            </w:r>
          </w:p>
        </w:tc>
        <w:tc>
          <w:tcPr>
            <w:tcW w:w="786" w:type="dxa"/>
            <w:vMerge w:val="restart"/>
            <w:tcBorders>
              <w:top w:val="single" w:color="auto" w:sz="4" w:space="0"/>
              <w:left w:val="single" w:color="auto" w:sz="4" w:space="0"/>
              <w:bottom w:val="single" w:color="auto" w:sz="4" w:space="0"/>
              <w:right w:val="single" w:color="auto" w:sz="4" w:space="0"/>
            </w:tcBorders>
            <w:noWrap w:val="0"/>
            <w:vAlign w:val="center"/>
          </w:tcPr>
          <w:p w14:paraId="0DCF3F0C">
            <w:pPr>
              <w:spacing w:line="400" w:lineRule="exact"/>
              <w:jc w:val="center"/>
              <w:rPr>
                <w:rFonts w:hint="default" w:ascii="Times New Roman" w:hAnsi="Times New Roman" w:eastAsia="方正仿宋简体" w:cs="Times New Roman"/>
                <w:b/>
                <w:bCs/>
                <w:color w:val="000000"/>
                <w:szCs w:val="21"/>
                <w:lang w:eastAsia="zh-CN"/>
              </w:rPr>
            </w:pPr>
            <w:r>
              <w:rPr>
                <w:rFonts w:hint="default" w:ascii="Times New Roman" w:hAnsi="Times New Roman" w:eastAsia="方正仿宋简体" w:cs="Times New Roman"/>
                <w:b/>
                <w:bCs/>
                <w:color w:val="000000"/>
                <w:szCs w:val="21"/>
              </w:rPr>
              <w:t>务工</w:t>
            </w:r>
          </w:p>
          <w:p w14:paraId="6888831E">
            <w:pPr>
              <w:spacing w:line="400" w:lineRule="exact"/>
              <w:jc w:val="center"/>
              <w:rPr>
                <w:rFonts w:hint="default" w:ascii="Times New Roman" w:hAnsi="Times New Roman" w:eastAsia="方正仿宋简体" w:cs="Times New Roman"/>
                <w:b/>
                <w:bCs/>
                <w:color w:val="000000"/>
                <w:szCs w:val="21"/>
              </w:rPr>
            </w:pPr>
            <w:r>
              <w:rPr>
                <w:rFonts w:hint="default" w:ascii="Times New Roman" w:hAnsi="Times New Roman" w:eastAsia="方正仿宋简体" w:cs="Times New Roman"/>
                <w:b/>
                <w:bCs/>
                <w:color w:val="000000"/>
                <w:szCs w:val="21"/>
              </w:rPr>
              <w:t>方面</w:t>
            </w:r>
          </w:p>
          <w:p w14:paraId="4149A6F9">
            <w:pPr>
              <w:pStyle w:val="2"/>
              <w:rPr>
                <w:rFonts w:hint="eastAsia" w:eastAsia="方正仿宋简体"/>
                <w:lang w:eastAsia="zh-CN"/>
              </w:rPr>
            </w:pPr>
            <w:r>
              <w:rPr>
                <w:rFonts w:hint="eastAsia" w:eastAsia="方正仿宋简体" w:cs="Times New Roman"/>
                <w:b/>
                <w:bCs/>
                <w:color w:val="000000"/>
                <w:szCs w:val="21"/>
                <w:lang w:eastAsia="zh-CN"/>
              </w:rPr>
              <w:t>（</w:t>
            </w:r>
            <w:r>
              <w:rPr>
                <w:rFonts w:hint="eastAsia" w:eastAsia="方正仿宋简体" w:cs="Times New Roman"/>
                <w:b/>
                <w:bCs/>
                <w:color w:val="000000"/>
                <w:szCs w:val="21"/>
                <w:lang w:val="en-US" w:eastAsia="zh-CN"/>
              </w:rPr>
              <w:t>50分</w:t>
            </w:r>
            <w:r>
              <w:rPr>
                <w:rFonts w:hint="eastAsia" w:eastAsia="方正仿宋简体" w:cs="Times New Roman"/>
                <w:b/>
                <w:bCs/>
                <w:color w:val="000000"/>
                <w:szCs w:val="21"/>
                <w:lang w:eastAsia="zh-CN"/>
              </w:rPr>
              <w:t>）</w:t>
            </w:r>
          </w:p>
        </w:tc>
        <w:tc>
          <w:tcPr>
            <w:tcW w:w="708" w:type="dxa"/>
            <w:tcBorders>
              <w:top w:val="single" w:color="auto" w:sz="4" w:space="0"/>
              <w:left w:val="single" w:color="auto" w:sz="4" w:space="0"/>
              <w:bottom w:val="single" w:color="auto" w:sz="4" w:space="0"/>
              <w:right w:val="single" w:color="auto" w:sz="4" w:space="0"/>
            </w:tcBorders>
            <w:noWrap w:val="0"/>
            <w:vAlign w:val="center"/>
          </w:tcPr>
          <w:p w14:paraId="0EC0EFA3">
            <w:pPr>
              <w:spacing w:line="400" w:lineRule="exact"/>
              <w:jc w:val="center"/>
              <w:rPr>
                <w:rFonts w:hint="default" w:ascii="Times New Roman" w:hAnsi="Times New Roman" w:eastAsia="方正仿宋简体" w:cs="Times New Roman"/>
                <w:b/>
                <w:bCs/>
                <w:color w:val="000000"/>
                <w:szCs w:val="21"/>
              </w:rPr>
            </w:pPr>
            <w:r>
              <w:rPr>
                <w:rFonts w:hint="default" w:ascii="Times New Roman" w:hAnsi="Times New Roman" w:eastAsia="方正仿宋简体" w:cs="Times New Roman"/>
                <w:b/>
                <w:bCs/>
                <w:color w:val="000000"/>
                <w:szCs w:val="21"/>
              </w:rPr>
              <w:t>就业</w:t>
            </w:r>
          </w:p>
        </w:tc>
        <w:tc>
          <w:tcPr>
            <w:tcW w:w="1985" w:type="dxa"/>
            <w:tcBorders>
              <w:top w:val="single" w:color="auto" w:sz="4" w:space="0"/>
              <w:left w:val="single" w:color="auto" w:sz="4" w:space="0"/>
              <w:bottom w:val="single" w:color="auto" w:sz="4" w:space="0"/>
              <w:right w:val="single" w:color="auto" w:sz="4" w:space="0"/>
            </w:tcBorders>
            <w:noWrap w:val="0"/>
            <w:vAlign w:val="center"/>
          </w:tcPr>
          <w:p w14:paraId="00B53BFD">
            <w:pPr>
              <w:spacing w:line="400" w:lineRule="exact"/>
              <w:rPr>
                <w:rFonts w:hint="default" w:ascii="Times New Roman" w:hAnsi="Times New Roman" w:eastAsia="方正仿宋简体" w:cs="Times New Roman"/>
                <w:b/>
                <w:bCs/>
                <w:color w:val="000000"/>
                <w:szCs w:val="21"/>
              </w:rPr>
            </w:pPr>
            <w:r>
              <w:rPr>
                <w:rFonts w:hint="default" w:ascii="Times New Roman" w:hAnsi="Times New Roman" w:eastAsia="方正仿宋简体" w:cs="Times New Roman"/>
                <w:b/>
                <w:bCs/>
                <w:color w:val="000000"/>
                <w:szCs w:val="21"/>
              </w:rPr>
              <w:t>1.签订合法劳动合同。每月计1分，最高不超过</w:t>
            </w:r>
            <w:r>
              <w:rPr>
                <w:rFonts w:hint="default" w:ascii="Times New Roman" w:hAnsi="Times New Roman" w:eastAsia="方正仿宋简体" w:cs="Times New Roman"/>
                <w:b/>
                <w:bCs/>
                <w:color w:val="000000"/>
                <w:szCs w:val="21"/>
                <w:lang w:val="en-US" w:eastAsia="zh-CN"/>
              </w:rPr>
              <w:t>36分</w:t>
            </w:r>
            <w:r>
              <w:rPr>
                <w:rFonts w:hint="default" w:ascii="Times New Roman" w:hAnsi="Times New Roman" w:eastAsia="方正仿宋简体" w:cs="Times New Roman"/>
                <w:b/>
                <w:bCs/>
                <w:color w:val="000000"/>
                <w:szCs w:val="21"/>
              </w:rPr>
              <w:t>。                              2.灵活就业。每月计0.25分，最高不超过</w:t>
            </w:r>
            <w:r>
              <w:rPr>
                <w:rFonts w:hint="default" w:ascii="Times New Roman" w:hAnsi="Times New Roman" w:eastAsia="方正仿宋简体" w:cs="Times New Roman"/>
                <w:b/>
                <w:bCs/>
                <w:color w:val="000000"/>
                <w:szCs w:val="21"/>
                <w:lang w:val="en-US" w:eastAsia="zh-CN"/>
              </w:rPr>
              <w:t>9</w:t>
            </w:r>
            <w:r>
              <w:rPr>
                <w:rFonts w:hint="default" w:ascii="Times New Roman" w:hAnsi="Times New Roman" w:eastAsia="方正仿宋简体" w:cs="Times New Roman"/>
                <w:b/>
                <w:bCs/>
                <w:color w:val="000000"/>
                <w:szCs w:val="21"/>
              </w:rPr>
              <w:t>分。</w:t>
            </w:r>
          </w:p>
        </w:tc>
        <w:tc>
          <w:tcPr>
            <w:tcW w:w="5953" w:type="dxa"/>
            <w:tcBorders>
              <w:top w:val="single" w:color="auto" w:sz="4" w:space="0"/>
              <w:left w:val="single" w:color="auto" w:sz="4" w:space="0"/>
              <w:bottom w:val="single" w:color="auto" w:sz="4" w:space="0"/>
              <w:right w:val="single" w:color="auto" w:sz="4" w:space="0"/>
            </w:tcBorders>
            <w:noWrap w:val="0"/>
            <w:vAlign w:val="center"/>
          </w:tcPr>
          <w:p w14:paraId="7D2687DD">
            <w:pPr>
              <w:spacing w:line="400" w:lineRule="exact"/>
              <w:rPr>
                <w:rFonts w:hint="default" w:ascii="Times New Roman" w:hAnsi="Times New Roman" w:eastAsia="方正仿宋简体" w:cs="Times New Roman"/>
                <w:b/>
                <w:bCs/>
                <w:color w:val="000000"/>
                <w:szCs w:val="21"/>
                <w:lang w:eastAsia="zh-CN"/>
              </w:rPr>
            </w:pPr>
            <w:r>
              <w:rPr>
                <w:rFonts w:hint="default" w:ascii="Times New Roman" w:hAnsi="Times New Roman" w:eastAsia="方正仿宋简体" w:cs="Times New Roman"/>
                <w:b/>
                <w:bCs/>
                <w:color w:val="000000"/>
                <w:szCs w:val="21"/>
              </w:rPr>
              <w:t>1.务工地点应在太白湖新区许庄辖区内。</w:t>
            </w:r>
          </w:p>
          <w:p w14:paraId="65DB7189">
            <w:pPr>
              <w:spacing w:line="400" w:lineRule="exact"/>
              <w:rPr>
                <w:rFonts w:hint="default" w:ascii="Times New Roman" w:hAnsi="Times New Roman" w:eastAsia="方正仿宋简体" w:cs="Times New Roman"/>
                <w:b/>
                <w:bCs/>
                <w:color w:val="000000"/>
                <w:szCs w:val="21"/>
                <w:lang w:eastAsia="zh-CN"/>
              </w:rPr>
            </w:pPr>
            <w:r>
              <w:rPr>
                <w:rFonts w:hint="default" w:ascii="Times New Roman" w:hAnsi="Times New Roman" w:eastAsia="方正仿宋简体" w:cs="Times New Roman"/>
                <w:b/>
                <w:bCs/>
                <w:color w:val="000000"/>
                <w:szCs w:val="21"/>
              </w:rPr>
              <w:t>2.计分以一方为准，父母双方不累加。</w:t>
            </w:r>
          </w:p>
          <w:p w14:paraId="0EA55247">
            <w:pPr>
              <w:spacing w:line="400" w:lineRule="exact"/>
              <w:rPr>
                <w:rFonts w:hint="default" w:ascii="Times New Roman" w:hAnsi="Times New Roman" w:eastAsia="方正仿宋简体" w:cs="Times New Roman"/>
                <w:b/>
                <w:bCs/>
                <w:color w:val="000000"/>
                <w:szCs w:val="21"/>
                <w:lang w:eastAsia="zh-CN"/>
              </w:rPr>
            </w:pPr>
            <w:r>
              <w:rPr>
                <w:rFonts w:hint="default" w:ascii="Times New Roman" w:hAnsi="Times New Roman" w:eastAsia="方正仿宋简体" w:cs="Times New Roman"/>
                <w:b/>
                <w:bCs/>
                <w:color w:val="000000"/>
                <w:szCs w:val="21"/>
              </w:rPr>
              <w:t>3.如签订的劳动合同不在同一单位需连续计算的，中断时间不能超过1个月。</w:t>
            </w:r>
          </w:p>
          <w:p w14:paraId="171B97F8">
            <w:pPr>
              <w:spacing w:line="400" w:lineRule="exact"/>
              <w:rPr>
                <w:rFonts w:hint="default" w:ascii="Times New Roman" w:hAnsi="Times New Roman" w:eastAsia="方正仿宋简体" w:cs="Times New Roman"/>
                <w:b/>
                <w:bCs/>
                <w:color w:val="000000"/>
                <w:szCs w:val="21"/>
              </w:rPr>
            </w:pPr>
            <w:r>
              <w:rPr>
                <w:rFonts w:hint="default" w:ascii="Times New Roman" w:hAnsi="Times New Roman" w:eastAsia="方正仿宋简体" w:cs="Times New Roman"/>
                <w:b/>
                <w:bCs/>
                <w:color w:val="000000"/>
                <w:szCs w:val="21"/>
              </w:rPr>
              <w:t>4</w:t>
            </w:r>
            <w:r>
              <w:rPr>
                <w:rFonts w:hint="default" w:ascii="Times New Roman" w:hAnsi="Times New Roman" w:eastAsia="方正仿宋简体" w:cs="Times New Roman"/>
                <w:b/>
                <w:bCs/>
                <w:color w:val="000000"/>
                <w:szCs w:val="21"/>
                <w:highlight w:val="none"/>
              </w:rPr>
              <w:t>.时间计算：以劳动合同签订时间和“就业创业证”标明</w:t>
            </w:r>
            <w:r>
              <w:rPr>
                <w:rFonts w:hint="default" w:ascii="Times New Roman" w:hAnsi="Times New Roman" w:eastAsia="方正仿宋简体" w:cs="Times New Roman"/>
                <w:b/>
                <w:bCs/>
                <w:color w:val="000000"/>
                <w:szCs w:val="21"/>
                <w:highlight w:val="none"/>
                <w:lang w:val="en-US" w:eastAsia="zh-CN"/>
              </w:rPr>
              <w:t>实际</w:t>
            </w:r>
            <w:r>
              <w:rPr>
                <w:rFonts w:hint="default" w:ascii="Times New Roman" w:hAnsi="Times New Roman" w:eastAsia="方正仿宋简体" w:cs="Times New Roman"/>
                <w:b/>
                <w:bCs/>
                <w:color w:val="000000"/>
                <w:szCs w:val="21"/>
                <w:highlight w:val="none"/>
              </w:rPr>
              <w:t>就业日期为开始计算时间，截止时间为当年</w:t>
            </w:r>
            <w:r>
              <w:rPr>
                <w:rFonts w:hint="default" w:ascii="Times New Roman" w:hAnsi="Times New Roman" w:eastAsia="方正仿宋简体" w:cs="Times New Roman"/>
                <w:b/>
                <w:bCs/>
                <w:color w:val="000000"/>
                <w:szCs w:val="21"/>
                <w:highlight w:val="none"/>
                <w:lang w:val="en-US" w:eastAsia="zh-CN"/>
              </w:rPr>
              <w:t>7</w:t>
            </w:r>
            <w:r>
              <w:rPr>
                <w:rFonts w:hint="default" w:ascii="Times New Roman" w:hAnsi="Times New Roman" w:eastAsia="方正仿宋简体" w:cs="Times New Roman"/>
                <w:b/>
                <w:bCs/>
                <w:color w:val="000000"/>
                <w:szCs w:val="21"/>
                <w:highlight w:val="none"/>
              </w:rPr>
              <w:t>月31日。</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2F825FDE">
            <w:pPr>
              <w:spacing w:line="400" w:lineRule="exact"/>
              <w:rPr>
                <w:rFonts w:hint="default" w:ascii="Times New Roman" w:hAnsi="Times New Roman" w:eastAsia="方正仿宋简体" w:cs="Times New Roman"/>
                <w:b/>
                <w:bCs/>
                <w:color w:val="000000"/>
                <w:szCs w:val="21"/>
                <w:highlight w:val="none"/>
                <w:lang w:eastAsia="zh-CN"/>
              </w:rPr>
            </w:pPr>
            <w:r>
              <w:rPr>
                <w:rFonts w:hint="default" w:ascii="Times New Roman" w:hAnsi="Times New Roman" w:eastAsia="方正仿宋简体" w:cs="Times New Roman"/>
                <w:b/>
                <w:bCs/>
                <w:color w:val="000000"/>
                <w:szCs w:val="21"/>
                <w:highlight w:val="none"/>
              </w:rPr>
              <w:t>1.提供在人社部门劳动用工备案系统备案的劳动合同。</w:t>
            </w:r>
          </w:p>
          <w:p w14:paraId="2447FAD1">
            <w:pPr>
              <w:spacing w:line="400" w:lineRule="exact"/>
              <w:rPr>
                <w:rFonts w:hint="default" w:ascii="Times New Roman" w:hAnsi="Times New Roman" w:eastAsia="方正仿宋简体" w:cs="Times New Roman"/>
                <w:b/>
                <w:bCs/>
                <w:color w:val="000000"/>
                <w:szCs w:val="21"/>
              </w:rPr>
            </w:pPr>
            <w:r>
              <w:rPr>
                <w:rFonts w:hint="default" w:ascii="Times New Roman" w:hAnsi="Times New Roman" w:eastAsia="方正仿宋简体" w:cs="Times New Roman"/>
                <w:b/>
                <w:bCs/>
                <w:color w:val="000000"/>
                <w:szCs w:val="21"/>
                <w:highlight w:val="none"/>
              </w:rPr>
              <w:t>2.灵活就业者需提供在</w:t>
            </w:r>
            <w:r>
              <w:rPr>
                <w:rFonts w:hint="default" w:ascii="Times New Roman" w:hAnsi="Times New Roman" w:eastAsia="方正仿宋简体" w:cs="Times New Roman"/>
                <w:b/>
                <w:bCs/>
                <w:color w:val="000000"/>
                <w:szCs w:val="21"/>
                <w:highlight w:val="none"/>
                <w:lang w:val="en-US" w:eastAsia="zh-CN"/>
              </w:rPr>
              <w:t>太白湖新区</w:t>
            </w:r>
            <w:r>
              <w:rPr>
                <w:rFonts w:hint="default" w:ascii="Times New Roman" w:hAnsi="Times New Roman" w:eastAsia="方正仿宋简体" w:cs="Times New Roman"/>
                <w:b/>
                <w:bCs/>
                <w:color w:val="000000"/>
                <w:szCs w:val="21"/>
                <w:highlight w:val="none"/>
              </w:rPr>
              <w:t>人社部门备案的“就业创业证”。</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9FADD87">
            <w:pPr>
              <w:spacing w:line="400" w:lineRule="exact"/>
              <w:jc w:val="center"/>
              <w:rPr>
                <w:rFonts w:hint="eastAsia" w:ascii="Times New Roman" w:hAnsi="Times New Roman" w:eastAsia="方正仿宋简体" w:cs="Times New Roman"/>
                <w:b/>
                <w:bCs/>
                <w:color w:val="000000"/>
                <w:szCs w:val="21"/>
                <w:lang w:eastAsia="zh-CN"/>
              </w:rPr>
            </w:pPr>
            <w:r>
              <w:rPr>
                <w:rFonts w:hint="eastAsia" w:eastAsia="方正仿宋简体" w:cs="Times New Roman"/>
                <w:b/>
                <w:bCs/>
                <w:color w:val="000000"/>
                <w:szCs w:val="21"/>
                <w:lang w:val="en-US" w:eastAsia="zh-CN"/>
              </w:rPr>
              <w:t>社保中心</w:t>
            </w:r>
          </w:p>
        </w:tc>
        <w:tc>
          <w:tcPr>
            <w:tcW w:w="1172" w:type="dxa"/>
            <w:tcBorders>
              <w:top w:val="single" w:color="auto" w:sz="4" w:space="0"/>
              <w:left w:val="single" w:color="auto" w:sz="4" w:space="0"/>
              <w:bottom w:val="single" w:color="auto" w:sz="4" w:space="0"/>
              <w:right w:val="single" w:color="auto" w:sz="4" w:space="0"/>
            </w:tcBorders>
            <w:noWrap w:val="0"/>
            <w:vAlign w:val="center"/>
          </w:tcPr>
          <w:p w14:paraId="76DDDF5A">
            <w:pPr>
              <w:spacing w:line="400" w:lineRule="exact"/>
              <w:jc w:val="center"/>
              <w:rPr>
                <w:rFonts w:hint="default" w:ascii="Times New Roman" w:hAnsi="Times New Roman" w:eastAsia="方正仿宋简体" w:cs="Times New Roman"/>
                <w:b/>
                <w:bCs/>
                <w:color w:val="000000"/>
                <w:szCs w:val="21"/>
              </w:rPr>
            </w:pPr>
            <w:r>
              <w:rPr>
                <w:rFonts w:hint="default" w:ascii="Times New Roman" w:hAnsi="Times New Roman" w:eastAsia="方正仿宋简体" w:cs="Times New Roman"/>
                <w:b/>
                <w:bCs/>
                <w:color w:val="000000"/>
                <w:szCs w:val="21"/>
              </w:rPr>
              <w:t>最近连续就业需满</w:t>
            </w:r>
            <w:r>
              <w:rPr>
                <w:rFonts w:hint="default" w:ascii="Times New Roman" w:hAnsi="Times New Roman" w:eastAsia="方正仿宋简体" w:cs="Times New Roman"/>
                <w:b/>
                <w:bCs/>
                <w:color w:val="000000"/>
                <w:szCs w:val="21"/>
                <w:lang w:val="en-US" w:eastAsia="zh-CN"/>
              </w:rPr>
              <w:t>6</w:t>
            </w:r>
            <w:r>
              <w:rPr>
                <w:rFonts w:hint="default" w:ascii="Times New Roman" w:hAnsi="Times New Roman" w:eastAsia="方正仿宋简体" w:cs="Times New Roman"/>
                <w:b/>
                <w:bCs/>
                <w:color w:val="000000"/>
                <w:szCs w:val="21"/>
              </w:rPr>
              <w:t>个月</w:t>
            </w:r>
          </w:p>
        </w:tc>
      </w:tr>
      <w:tr w14:paraId="57D473E2">
        <w:tblPrEx>
          <w:tblCellMar>
            <w:top w:w="0" w:type="dxa"/>
            <w:left w:w="108" w:type="dxa"/>
            <w:bottom w:w="0" w:type="dxa"/>
            <w:right w:w="108" w:type="dxa"/>
          </w:tblCellMar>
        </w:tblPrEx>
        <w:trPr>
          <w:trHeight w:val="679" w:hRule="atLeast"/>
          <w:jc w:val="center"/>
        </w:trPr>
        <w:tc>
          <w:tcPr>
            <w:tcW w:w="640" w:type="dxa"/>
            <w:vMerge w:val="continue"/>
            <w:tcBorders>
              <w:top w:val="single" w:color="auto" w:sz="4" w:space="0"/>
              <w:left w:val="single" w:color="auto" w:sz="4" w:space="0"/>
              <w:bottom w:val="single" w:color="auto" w:sz="4" w:space="0"/>
              <w:right w:val="single" w:color="auto" w:sz="4" w:space="0"/>
            </w:tcBorders>
            <w:noWrap w:val="0"/>
            <w:vAlign w:val="center"/>
          </w:tcPr>
          <w:p w14:paraId="68665199">
            <w:pPr>
              <w:spacing w:line="400" w:lineRule="exact"/>
              <w:rPr>
                <w:rFonts w:hint="default" w:ascii="Times New Roman" w:hAnsi="Times New Roman" w:eastAsia="方正仿宋简体" w:cs="Times New Roman"/>
                <w:b/>
                <w:bCs/>
                <w:color w:val="000000"/>
                <w:szCs w:val="21"/>
              </w:rPr>
            </w:pPr>
          </w:p>
        </w:tc>
        <w:tc>
          <w:tcPr>
            <w:tcW w:w="786" w:type="dxa"/>
            <w:vMerge w:val="continue"/>
            <w:tcBorders>
              <w:top w:val="single" w:color="auto" w:sz="4" w:space="0"/>
              <w:left w:val="single" w:color="auto" w:sz="4" w:space="0"/>
              <w:bottom w:val="single" w:color="auto" w:sz="4" w:space="0"/>
              <w:right w:val="single" w:color="auto" w:sz="4" w:space="0"/>
            </w:tcBorders>
            <w:noWrap w:val="0"/>
            <w:vAlign w:val="center"/>
          </w:tcPr>
          <w:p w14:paraId="525294CC">
            <w:pPr>
              <w:spacing w:line="400" w:lineRule="exact"/>
              <w:rPr>
                <w:rFonts w:hint="default" w:ascii="Times New Roman" w:hAnsi="Times New Roman" w:eastAsia="方正仿宋简体" w:cs="Times New Roman"/>
                <w:b/>
                <w:bCs/>
                <w:color w:val="000000"/>
                <w:szCs w:val="21"/>
              </w:rPr>
            </w:pPr>
          </w:p>
        </w:tc>
        <w:tc>
          <w:tcPr>
            <w:tcW w:w="708" w:type="dxa"/>
            <w:tcBorders>
              <w:top w:val="single" w:color="auto" w:sz="4" w:space="0"/>
              <w:left w:val="single" w:color="auto" w:sz="4" w:space="0"/>
              <w:bottom w:val="single" w:color="auto" w:sz="4" w:space="0"/>
              <w:right w:val="single" w:color="auto" w:sz="4" w:space="0"/>
            </w:tcBorders>
            <w:noWrap w:val="0"/>
            <w:vAlign w:val="center"/>
          </w:tcPr>
          <w:p w14:paraId="133E241C">
            <w:pPr>
              <w:spacing w:line="400" w:lineRule="exact"/>
              <w:jc w:val="center"/>
              <w:rPr>
                <w:rFonts w:hint="default" w:ascii="Times New Roman" w:hAnsi="Times New Roman" w:eastAsia="方正仿宋简体" w:cs="Times New Roman"/>
                <w:b/>
                <w:bCs/>
                <w:color w:val="000000"/>
                <w:szCs w:val="21"/>
              </w:rPr>
            </w:pPr>
            <w:r>
              <w:rPr>
                <w:rFonts w:hint="default" w:ascii="Times New Roman" w:hAnsi="Times New Roman" w:eastAsia="方正仿宋简体" w:cs="Times New Roman"/>
                <w:b/>
                <w:bCs/>
                <w:color w:val="000000"/>
                <w:szCs w:val="21"/>
              </w:rPr>
              <w:t>经商</w:t>
            </w:r>
          </w:p>
        </w:tc>
        <w:tc>
          <w:tcPr>
            <w:tcW w:w="1985" w:type="dxa"/>
            <w:tcBorders>
              <w:top w:val="single" w:color="auto" w:sz="4" w:space="0"/>
              <w:left w:val="single" w:color="auto" w:sz="4" w:space="0"/>
              <w:bottom w:val="single" w:color="auto" w:sz="4" w:space="0"/>
              <w:right w:val="single" w:color="auto" w:sz="4" w:space="0"/>
            </w:tcBorders>
            <w:noWrap w:val="0"/>
            <w:vAlign w:val="center"/>
          </w:tcPr>
          <w:p w14:paraId="5CB989FE">
            <w:pPr>
              <w:numPr>
                <w:ilvl w:val="0"/>
                <w:numId w:val="0"/>
              </w:numPr>
              <w:spacing w:line="400" w:lineRule="exact"/>
              <w:rPr>
                <w:rFonts w:hint="default" w:ascii="Times New Roman" w:hAnsi="Times New Roman" w:eastAsia="方正仿宋简体" w:cs="Times New Roman"/>
                <w:b/>
                <w:bCs/>
                <w:color w:val="000000"/>
                <w:szCs w:val="21"/>
                <w:lang w:val="en-US" w:eastAsia="zh-CN"/>
              </w:rPr>
            </w:pPr>
            <w:r>
              <w:rPr>
                <w:rFonts w:hint="eastAsia" w:eastAsia="方正仿宋简体" w:cs="Times New Roman"/>
                <w:b/>
                <w:bCs/>
                <w:color w:val="000000"/>
                <w:szCs w:val="21"/>
                <w:lang w:val="en-US" w:eastAsia="zh-CN"/>
              </w:rPr>
              <w:t>1.</w:t>
            </w:r>
            <w:r>
              <w:rPr>
                <w:rFonts w:hint="default" w:ascii="Times New Roman" w:hAnsi="Times New Roman" w:eastAsia="方正仿宋简体" w:cs="Times New Roman"/>
                <w:b/>
                <w:bCs/>
                <w:color w:val="000000"/>
                <w:szCs w:val="21"/>
                <w:lang w:val="en-US" w:eastAsia="zh-CN"/>
              </w:rPr>
              <w:t>个体工商户。每月计1分，最高不超过36分。</w:t>
            </w:r>
          </w:p>
          <w:p w14:paraId="76CC700F">
            <w:pPr>
              <w:numPr>
                <w:ilvl w:val="0"/>
                <w:numId w:val="0"/>
              </w:numPr>
              <w:spacing w:line="400" w:lineRule="exact"/>
              <w:ind w:leftChars="0"/>
              <w:rPr>
                <w:rFonts w:hint="default" w:ascii="Times New Roman" w:hAnsi="Times New Roman" w:eastAsia="方正仿宋简体" w:cs="Times New Roman"/>
                <w:b/>
                <w:bCs/>
                <w:color w:val="000000"/>
                <w:szCs w:val="21"/>
                <w:lang w:val="en-US" w:eastAsia="zh-CN"/>
              </w:rPr>
            </w:pPr>
            <w:r>
              <w:rPr>
                <w:rFonts w:hint="eastAsia" w:eastAsia="方正仿宋简体" w:cs="Times New Roman"/>
                <w:b/>
                <w:bCs/>
                <w:color w:val="000000"/>
                <w:szCs w:val="21"/>
                <w:lang w:val="en-US" w:eastAsia="zh-CN"/>
              </w:rPr>
              <w:t>2.</w:t>
            </w:r>
            <w:r>
              <w:rPr>
                <w:rFonts w:hint="default" w:ascii="Times New Roman" w:hAnsi="Times New Roman" w:eastAsia="方正仿宋简体" w:cs="Times New Roman"/>
                <w:b/>
                <w:bCs/>
                <w:color w:val="000000"/>
                <w:szCs w:val="21"/>
                <w:lang w:val="en-US" w:eastAsia="zh-CN"/>
              </w:rPr>
              <w:t>私营企业法定代表人（负责人）。每月计1.5分，最高不超过50分。</w:t>
            </w:r>
          </w:p>
          <w:p w14:paraId="262B90E2">
            <w:pPr>
              <w:numPr>
                <w:ilvl w:val="0"/>
                <w:numId w:val="0"/>
              </w:numPr>
              <w:spacing w:line="400" w:lineRule="exact"/>
              <w:ind w:leftChars="0"/>
              <w:rPr>
                <w:rFonts w:hint="default"/>
                <w:lang w:val="en-US" w:eastAsia="zh-CN"/>
              </w:rPr>
            </w:pPr>
            <w:r>
              <w:rPr>
                <w:rFonts w:hint="default" w:ascii="Times New Roman" w:hAnsi="Times New Roman" w:eastAsia="方正仿宋简体" w:cs="Times New Roman"/>
                <w:b/>
                <w:bCs/>
                <w:color w:val="000000"/>
                <w:szCs w:val="21"/>
                <w:lang w:val="en-US" w:eastAsia="zh-CN"/>
              </w:rPr>
              <w:t>3.私营企业股东或合伙人。每月计0.5分，最高不超过18分。</w:t>
            </w:r>
          </w:p>
        </w:tc>
        <w:tc>
          <w:tcPr>
            <w:tcW w:w="5953" w:type="dxa"/>
            <w:tcBorders>
              <w:top w:val="single" w:color="auto" w:sz="4" w:space="0"/>
              <w:left w:val="single" w:color="auto" w:sz="4" w:space="0"/>
              <w:bottom w:val="single" w:color="auto" w:sz="4" w:space="0"/>
              <w:right w:val="single" w:color="auto" w:sz="4" w:space="0"/>
            </w:tcBorders>
            <w:noWrap w:val="0"/>
            <w:vAlign w:val="center"/>
          </w:tcPr>
          <w:p w14:paraId="2BE5C34E">
            <w:pPr>
              <w:spacing w:line="400" w:lineRule="exact"/>
              <w:rPr>
                <w:rFonts w:hint="default" w:ascii="Times New Roman" w:hAnsi="Times New Roman" w:eastAsia="方正仿宋简体" w:cs="Times New Roman"/>
                <w:b/>
                <w:bCs/>
                <w:color w:val="000000"/>
                <w:szCs w:val="21"/>
                <w:lang w:eastAsia="zh-CN"/>
              </w:rPr>
            </w:pPr>
            <w:r>
              <w:rPr>
                <w:rFonts w:hint="default" w:ascii="Times New Roman" w:hAnsi="Times New Roman" w:eastAsia="方正仿宋简体" w:cs="Times New Roman"/>
                <w:b/>
                <w:bCs/>
                <w:color w:val="000000"/>
                <w:szCs w:val="21"/>
              </w:rPr>
              <w:t>1.个体工商户经营者应为适龄儿童父（母），注册经营地址在太白湖新区许庄辖区内，证件齐全、合法并实际经营。计分以一方为准，父母双方不累加。</w:t>
            </w:r>
          </w:p>
          <w:p w14:paraId="400A7AB7">
            <w:pPr>
              <w:spacing w:line="400" w:lineRule="exact"/>
              <w:rPr>
                <w:rFonts w:hint="default" w:ascii="Times New Roman" w:hAnsi="Times New Roman" w:eastAsia="方正仿宋简体" w:cs="Times New Roman"/>
                <w:b/>
                <w:bCs/>
                <w:color w:val="000000"/>
                <w:szCs w:val="21"/>
                <w:lang w:eastAsia="zh-CN"/>
              </w:rPr>
            </w:pPr>
            <w:r>
              <w:rPr>
                <w:rFonts w:hint="default" w:ascii="Times New Roman" w:hAnsi="Times New Roman" w:eastAsia="方正仿宋简体" w:cs="Times New Roman"/>
                <w:b/>
                <w:bCs/>
                <w:color w:val="000000"/>
                <w:szCs w:val="21"/>
              </w:rPr>
              <w:t>2.私营企业法定代表人（负责人）应为适龄儿童父（母），注册生产经营地址在太白湖新区，证件齐全并依法实际生产经营。计分以一方为准，父母双方不累加。</w:t>
            </w:r>
          </w:p>
          <w:p w14:paraId="18B5BAE8">
            <w:pPr>
              <w:spacing w:line="400" w:lineRule="exact"/>
              <w:rPr>
                <w:rFonts w:hint="default" w:ascii="Times New Roman" w:hAnsi="Times New Roman" w:eastAsia="方正仿宋简体" w:cs="Times New Roman"/>
                <w:b/>
                <w:bCs/>
                <w:color w:val="000000"/>
                <w:szCs w:val="21"/>
                <w:lang w:eastAsia="zh-CN"/>
              </w:rPr>
            </w:pPr>
            <w:r>
              <w:rPr>
                <w:rFonts w:hint="default" w:ascii="Times New Roman" w:hAnsi="Times New Roman" w:eastAsia="方正仿宋简体" w:cs="Times New Roman"/>
                <w:b/>
                <w:bCs/>
                <w:color w:val="000000"/>
                <w:szCs w:val="21"/>
              </w:rPr>
              <w:t xml:space="preserve">3.私营企业股东或合伙人应为适龄儿童父（母），所在企业注册地址应在太白湖新区，证件齐全并依法实际生产经营。计分以一方为准，父母双方不累加。        </w:t>
            </w:r>
          </w:p>
          <w:p w14:paraId="51B33BE2">
            <w:pPr>
              <w:spacing w:line="400" w:lineRule="exact"/>
              <w:rPr>
                <w:rFonts w:hint="default" w:ascii="Times New Roman" w:hAnsi="Times New Roman" w:eastAsia="方正仿宋简体" w:cs="Times New Roman"/>
                <w:b/>
                <w:bCs/>
                <w:color w:val="000000"/>
                <w:szCs w:val="21"/>
                <w:lang w:eastAsia="zh-CN"/>
              </w:rPr>
            </w:pPr>
            <w:r>
              <w:rPr>
                <w:rFonts w:hint="default" w:ascii="Times New Roman" w:hAnsi="Times New Roman" w:eastAsia="方正仿宋简体" w:cs="Times New Roman"/>
                <w:b/>
                <w:bCs/>
                <w:color w:val="000000"/>
                <w:szCs w:val="21"/>
              </w:rPr>
              <w:t>4.既是私营企业法定代表人（负责人）又是股东的不再重复计分。</w:t>
            </w:r>
          </w:p>
          <w:p w14:paraId="185E8745">
            <w:pPr>
              <w:spacing w:line="400" w:lineRule="exact"/>
              <w:rPr>
                <w:rFonts w:hint="default" w:ascii="Times New Roman" w:hAnsi="Times New Roman" w:eastAsia="方正仿宋简体" w:cs="Times New Roman"/>
                <w:b/>
                <w:bCs/>
                <w:color w:val="000000"/>
                <w:szCs w:val="21"/>
              </w:rPr>
            </w:pPr>
            <w:r>
              <w:rPr>
                <w:rFonts w:hint="default" w:ascii="Times New Roman" w:hAnsi="Times New Roman" w:eastAsia="方正仿宋简体" w:cs="Times New Roman"/>
                <w:b/>
                <w:bCs/>
                <w:color w:val="000000"/>
                <w:szCs w:val="21"/>
              </w:rPr>
              <w:t>5.时间计算：以营业执照签发时间为开始计算时间，截止时间为当年</w:t>
            </w:r>
            <w:r>
              <w:rPr>
                <w:rFonts w:hint="default" w:ascii="Times New Roman" w:hAnsi="Times New Roman" w:eastAsia="方正仿宋简体" w:cs="Times New Roman"/>
                <w:b/>
                <w:bCs/>
                <w:color w:val="000000"/>
                <w:szCs w:val="21"/>
                <w:lang w:val="en-US" w:eastAsia="zh-CN"/>
              </w:rPr>
              <w:t>7</w:t>
            </w:r>
            <w:r>
              <w:rPr>
                <w:rFonts w:hint="default" w:ascii="Times New Roman" w:hAnsi="Times New Roman" w:eastAsia="方正仿宋简体" w:cs="Times New Roman"/>
                <w:b/>
                <w:bCs/>
                <w:color w:val="000000"/>
                <w:szCs w:val="21"/>
              </w:rPr>
              <w:t>月31日（涉及法定代表人、股东变更的，以变更核准的时间为开始计算时间）。</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59A9E601">
            <w:pPr>
              <w:spacing w:line="400" w:lineRule="exact"/>
              <w:rPr>
                <w:rFonts w:hint="default" w:ascii="Times New Roman" w:hAnsi="Times New Roman" w:eastAsia="方正仿宋简体" w:cs="Times New Roman"/>
                <w:b/>
                <w:bCs/>
                <w:color w:val="000000"/>
                <w:szCs w:val="21"/>
                <w:lang w:eastAsia="zh-CN"/>
              </w:rPr>
            </w:pPr>
            <w:r>
              <w:rPr>
                <w:rFonts w:hint="default" w:ascii="Times New Roman" w:hAnsi="Times New Roman" w:eastAsia="方正仿宋简体" w:cs="Times New Roman"/>
                <w:b/>
                <w:bCs/>
                <w:color w:val="000000"/>
                <w:szCs w:val="21"/>
              </w:rPr>
              <w:t>1.个体工商户提供工商营业执照。</w:t>
            </w:r>
          </w:p>
          <w:p w14:paraId="2F99764E">
            <w:pPr>
              <w:spacing w:line="400" w:lineRule="exact"/>
              <w:rPr>
                <w:rFonts w:hint="default" w:ascii="Times New Roman" w:hAnsi="Times New Roman" w:eastAsia="方正仿宋简体" w:cs="Times New Roman"/>
                <w:b/>
                <w:bCs/>
                <w:color w:val="000000"/>
                <w:szCs w:val="21"/>
                <w:lang w:eastAsia="zh-CN"/>
              </w:rPr>
            </w:pPr>
            <w:r>
              <w:rPr>
                <w:rFonts w:hint="default" w:ascii="Times New Roman" w:hAnsi="Times New Roman" w:eastAsia="方正仿宋简体" w:cs="Times New Roman"/>
                <w:b/>
                <w:bCs/>
                <w:color w:val="000000"/>
                <w:szCs w:val="21"/>
              </w:rPr>
              <w:t>2.私营企业法定代表人（负责人）提供工商营业执照以及与生产经营相关证件证明（变更的需提交变更证明）。</w:t>
            </w:r>
          </w:p>
          <w:p w14:paraId="048C86BB">
            <w:pPr>
              <w:spacing w:line="400" w:lineRule="exact"/>
              <w:rPr>
                <w:rFonts w:hint="default" w:ascii="Times New Roman" w:hAnsi="Times New Roman" w:eastAsia="方正仿宋简体" w:cs="Times New Roman"/>
                <w:b/>
                <w:bCs/>
                <w:color w:val="000000"/>
                <w:szCs w:val="21"/>
              </w:rPr>
            </w:pPr>
            <w:r>
              <w:rPr>
                <w:rFonts w:hint="default" w:ascii="Times New Roman" w:hAnsi="Times New Roman" w:eastAsia="方正仿宋简体" w:cs="Times New Roman"/>
                <w:b/>
                <w:bCs/>
                <w:color w:val="000000"/>
                <w:szCs w:val="21"/>
              </w:rPr>
              <w:t>3.私营企业股东或合伙人提供企业合法证件证明及本人参与投资经营证件证明。</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104A4C5">
            <w:pPr>
              <w:spacing w:line="400" w:lineRule="exact"/>
              <w:jc w:val="center"/>
              <w:rPr>
                <w:rFonts w:hint="eastAsia" w:ascii="Times New Roman" w:hAnsi="Times New Roman" w:eastAsia="方正仿宋简体" w:cs="Times New Roman"/>
                <w:b/>
                <w:bCs/>
                <w:color w:val="000000"/>
                <w:szCs w:val="21"/>
                <w:lang w:eastAsia="zh-CN"/>
              </w:rPr>
            </w:pPr>
            <w:r>
              <w:rPr>
                <w:rFonts w:hint="eastAsia" w:eastAsia="方正仿宋简体" w:cs="Times New Roman"/>
                <w:b/>
                <w:bCs/>
                <w:color w:val="000000"/>
                <w:szCs w:val="21"/>
                <w:lang w:val="en-US" w:eastAsia="zh-CN"/>
              </w:rPr>
              <w:t>市场监管</w:t>
            </w:r>
          </w:p>
        </w:tc>
        <w:tc>
          <w:tcPr>
            <w:tcW w:w="1172" w:type="dxa"/>
            <w:tcBorders>
              <w:top w:val="single" w:color="auto" w:sz="4" w:space="0"/>
              <w:left w:val="single" w:color="auto" w:sz="4" w:space="0"/>
              <w:bottom w:val="single" w:color="auto" w:sz="4" w:space="0"/>
              <w:right w:val="single" w:color="auto" w:sz="4" w:space="0"/>
            </w:tcBorders>
            <w:noWrap w:val="0"/>
            <w:vAlign w:val="center"/>
          </w:tcPr>
          <w:p w14:paraId="6CA0C997">
            <w:pPr>
              <w:spacing w:line="400" w:lineRule="exact"/>
              <w:jc w:val="center"/>
              <w:rPr>
                <w:rFonts w:hint="default" w:ascii="Times New Roman" w:hAnsi="Times New Roman" w:eastAsia="方正仿宋简体" w:cs="Times New Roman"/>
                <w:b/>
                <w:bCs/>
                <w:color w:val="000000"/>
                <w:szCs w:val="21"/>
              </w:rPr>
            </w:pPr>
            <w:r>
              <w:rPr>
                <w:rFonts w:hint="default" w:ascii="Times New Roman" w:hAnsi="Times New Roman" w:eastAsia="方正仿宋简体" w:cs="Times New Roman"/>
                <w:b/>
                <w:bCs/>
                <w:color w:val="000000"/>
                <w:szCs w:val="21"/>
              </w:rPr>
              <w:t>最近连续经商需满</w:t>
            </w:r>
            <w:r>
              <w:rPr>
                <w:rFonts w:hint="default" w:ascii="Times New Roman" w:hAnsi="Times New Roman" w:eastAsia="方正仿宋简体" w:cs="Times New Roman"/>
                <w:b/>
                <w:bCs/>
                <w:color w:val="000000"/>
                <w:szCs w:val="21"/>
                <w:lang w:val="en-US" w:eastAsia="zh-CN"/>
              </w:rPr>
              <w:t>6</w:t>
            </w:r>
            <w:r>
              <w:rPr>
                <w:rFonts w:hint="default" w:ascii="Times New Roman" w:hAnsi="Times New Roman" w:eastAsia="方正仿宋简体" w:cs="Times New Roman"/>
                <w:b/>
                <w:bCs/>
                <w:color w:val="000000"/>
                <w:szCs w:val="21"/>
              </w:rPr>
              <w:t>个月</w:t>
            </w:r>
          </w:p>
        </w:tc>
      </w:tr>
      <w:tr w14:paraId="06D7D823">
        <w:tblPrEx>
          <w:tblCellMar>
            <w:top w:w="0" w:type="dxa"/>
            <w:left w:w="108" w:type="dxa"/>
            <w:bottom w:w="0" w:type="dxa"/>
            <w:right w:w="108" w:type="dxa"/>
          </w:tblCellMar>
        </w:tblPrEx>
        <w:trPr>
          <w:trHeight w:val="3375" w:hRule="atLeast"/>
          <w:jc w:val="center"/>
        </w:trPr>
        <w:tc>
          <w:tcPr>
            <w:tcW w:w="640" w:type="dxa"/>
            <w:tcBorders>
              <w:top w:val="single" w:color="auto" w:sz="4" w:space="0"/>
              <w:left w:val="single" w:color="auto" w:sz="4" w:space="0"/>
              <w:bottom w:val="single" w:color="auto" w:sz="4" w:space="0"/>
              <w:right w:val="single" w:color="auto" w:sz="4" w:space="0"/>
            </w:tcBorders>
            <w:noWrap w:val="0"/>
            <w:vAlign w:val="center"/>
          </w:tcPr>
          <w:p w14:paraId="3DD35414">
            <w:pPr>
              <w:spacing w:line="400" w:lineRule="exact"/>
              <w:jc w:val="center"/>
              <w:rPr>
                <w:rFonts w:hint="default" w:ascii="Times New Roman" w:hAnsi="Times New Roman" w:eastAsia="方正仿宋简体" w:cs="Times New Roman"/>
                <w:b/>
                <w:bCs/>
                <w:color w:val="000000"/>
                <w:szCs w:val="21"/>
              </w:rPr>
            </w:pPr>
            <w:r>
              <w:rPr>
                <w:rFonts w:hint="default" w:ascii="Times New Roman" w:hAnsi="Times New Roman" w:eastAsia="方正仿宋简体" w:cs="Times New Roman"/>
                <w:b/>
                <w:bCs/>
                <w:color w:val="000000"/>
                <w:szCs w:val="21"/>
              </w:rPr>
              <w:t>3</w:t>
            </w:r>
          </w:p>
        </w:tc>
        <w:tc>
          <w:tcPr>
            <w:tcW w:w="786" w:type="dxa"/>
            <w:tcBorders>
              <w:top w:val="single" w:color="auto" w:sz="4" w:space="0"/>
              <w:left w:val="single" w:color="auto" w:sz="4" w:space="0"/>
              <w:bottom w:val="single" w:color="auto" w:sz="4" w:space="0"/>
              <w:right w:val="single" w:color="auto" w:sz="4" w:space="0"/>
            </w:tcBorders>
            <w:noWrap w:val="0"/>
            <w:vAlign w:val="center"/>
          </w:tcPr>
          <w:p w14:paraId="6912D35A">
            <w:pPr>
              <w:spacing w:line="400" w:lineRule="exact"/>
              <w:jc w:val="center"/>
              <w:rPr>
                <w:rFonts w:hint="default" w:ascii="Times New Roman" w:hAnsi="Times New Roman" w:eastAsia="方正仿宋简体" w:cs="Times New Roman"/>
                <w:b/>
                <w:bCs/>
                <w:color w:val="000000"/>
                <w:szCs w:val="21"/>
                <w:lang w:eastAsia="zh-CN"/>
              </w:rPr>
            </w:pPr>
            <w:r>
              <w:rPr>
                <w:rFonts w:hint="default" w:ascii="Times New Roman" w:hAnsi="Times New Roman" w:eastAsia="方正仿宋简体" w:cs="Times New Roman"/>
                <w:b/>
                <w:bCs/>
                <w:color w:val="000000"/>
                <w:szCs w:val="21"/>
              </w:rPr>
              <w:t>参保</w:t>
            </w:r>
          </w:p>
          <w:p w14:paraId="70820502">
            <w:pPr>
              <w:spacing w:line="400" w:lineRule="exact"/>
              <w:jc w:val="center"/>
              <w:rPr>
                <w:rFonts w:hint="default" w:ascii="Times New Roman" w:hAnsi="Times New Roman" w:eastAsia="方正仿宋简体" w:cs="Times New Roman"/>
                <w:b/>
                <w:bCs/>
                <w:color w:val="000000"/>
                <w:szCs w:val="21"/>
              </w:rPr>
            </w:pPr>
            <w:r>
              <w:rPr>
                <w:rFonts w:hint="default" w:ascii="Times New Roman" w:hAnsi="Times New Roman" w:eastAsia="方正仿宋简体" w:cs="Times New Roman"/>
                <w:b/>
                <w:bCs/>
                <w:color w:val="000000"/>
                <w:szCs w:val="21"/>
              </w:rPr>
              <w:t>情况</w:t>
            </w:r>
          </w:p>
          <w:p w14:paraId="31113C86">
            <w:pPr>
              <w:pStyle w:val="2"/>
              <w:rPr>
                <w:rFonts w:hint="eastAsia" w:eastAsia="方正仿宋简体"/>
                <w:lang w:eastAsia="zh-CN"/>
              </w:rPr>
            </w:pPr>
            <w:r>
              <w:rPr>
                <w:rFonts w:hint="eastAsia" w:eastAsia="方正仿宋简体" w:cs="Times New Roman"/>
                <w:b/>
                <w:bCs/>
                <w:color w:val="000000"/>
                <w:szCs w:val="21"/>
                <w:lang w:eastAsia="zh-CN"/>
              </w:rPr>
              <w:t>（</w:t>
            </w:r>
            <w:r>
              <w:rPr>
                <w:rFonts w:hint="eastAsia" w:eastAsia="方正仿宋简体" w:cs="Times New Roman"/>
                <w:b/>
                <w:bCs/>
                <w:color w:val="000000"/>
                <w:szCs w:val="21"/>
                <w:lang w:val="en-US" w:eastAsia="zh-CN"/>
              </w:rPr>
              <w:t>36分</w:t>
            </w:r>
            <w:r>
              <w:rPr>
                <w:rFonts w:hint="eastAsia" w:eastAsia="方正仿宋简体" w:cs="Times New Roman"/>
                <w:b/>
                <w:bCs/>
                <w:color w:val="000000"/>
                <w:szCs w:val="21"/>
                <w:lang w:eastAsia="zh-CN"/>
              </w:rPr>
              <w:t>）</w:t>
            </w:r>
          </w:p>
        </w:tc>
        <w:tc>
          <w:tcPr>
            <w:tcW w:w="2693" w:type="dxa"/>
            <w:gridSpan w:val="2"/>
            <w:tcBorders>
              <w:top w:val="single" w:color="auto" w:sz="4" w:space="0"/>
              <w:left w:val="single" w:color="auto" w:sz="4" w:space="0"/>
              <w:bottom w:val="single" w:color="auto" w:sz="4" w:space="0"/>
              <w:right w:val="single" w:color="auto" w:sz="4" w:space="0"/>
            </w:tcBorders>
            <w:noWrap w:val="0"/>
            <w:vAlign w:val="center"/>
          </w:tcPr>
          <w:p w14:paraId="02921FD3">
            <w:pPr>
              <w:numPr>
                <w:ilvl w:val="0"/>
                <w:numId w:val="0"/>
              </w:numPr>
              <w:spacing w:line="400" w:lineRule="exact"/>
              <w:rPr>
                <w:rFonts w:hint="default" w:ascii="Times New Roman" w:hAnsi="Times New Roman" w:eastAsia="方正仿宋简体" w:cs="Times New Roman"/>
                <w:b/>
                <w:bCs/>
                <w:color w:val="000000"/>
                <w:szCs w:val="21"/>
              </w:rPr>
            </w:pPr>
            <w:r>
              <w:rPr>
                <w:rFonts w:hint="eastAsia" w:eastAsia="方正仿宋简体" w:cs="Times New Roman"/>
                <w:b/>
                <w:bCs/>
                <w:color w:val="000000"/>
                <w:szCs w:val="21"/>
                <w:lang w:val="en-US" w:eastAsia="zh-CN"/>
              </w:rPr>
              <w:t>1.</w:t>
            </w:r>
            <w:r>
              <w:rPr>
                <w:rFonts w:hint="default" w:ascii="Times New Roman" w:hAnsi="Times New Roman" w:eastAsia="方正仿宋简体" w:cs="Times New Roman"/>
                <w:b/>
                <w:bCs/>
                <w:color w:val="000000"/>
                <w:szCs w:val="21"/>
              </w:rPr>
              <w:t>在太白湖新区社保中心（含市直）参加城镇职工基本养老保险的，每月计1分，最高不超过</w:t>
            </w:r>
            <w:r>
              <w:rPr>
                <w:rFonts w:hint="default" w:ascii="Times New Roman" w:hAnsi="Times New Roman" w:eastAsia="方正仿宋简体" w:cs="Times New Roman"/>
                <w:b/>
                <w:bCs/>
                <w:color w:val="000000"/>
                <w:szCs w:val="21"/>
                <w:lang w:val="en-US" w:eastAsia="zh-CN"/>
              </w:rPr>
              <w:t>36</w:t>
            </w:r>
            <w:r>
              <w:rPr>
                <w:rFonts w:hint="default" w:ascii="Times New Roman" w:hAnsi="Times New Roman" w:eastAsia="方正仿宋简体" w:cs="Times New Roman"/>
                <w:b/>
                <w:bCs/>
                <w:color w:val="000000"/>
                <w:szCs w:val="21"/>
              </w:rPr>
              <w:t>分</w:t>
            </w:r>
            <w:r>
              <w:rPr>
                <w:rFonts w:hint="eastAsia" w:eastAsia="方正仿宋简体" w:cs="Times New Roman"/>
                <w:b/>
                <w:bCs/>
                <w:color w:val="000000"/>
                <w:szCs w:val="21"/>
                <w:lang w:eastAsia="zh-CN"/>
              </w:rPr>
              <w:t>。</w:t>
            </w:r>
          </w:p>
          <w:p w14:paraId="4F4BD0BE">
            <w:pPr>
              <w:numPr>
                <w:ilvl w:val="0"/>
                <w:numId w:val="0"/>
              </w:numPr>
              <w:spacing w:line="400" w:lineRule="exact"/>
              <w:rPr>
                <w:rFonts w:hint="default" w:ascii="Times New Roman" w:hAnsi="Times New Roman" w:eastAsia="方正仿宋简体" w:cs="Times New Roman"/>
                <w:b/>
                <w:bCs/>
                <w:color w:val="000000"/>
                <w:szCs w:val="21"/>
              </w:rPr>
            </w:pPr>
            <w:r>
              <w:rPr>
                <w:rFonts w:hint="eastAsia" w:eastAsia="方正仿宋简体" w:cs="Times New Roman"/>
                <w:b/>
                <w:bCs/>
                <w:color w:val="000000"/>
                <w:szCs w:val="21"/>
                <w:lang w:val="en-US" w:eastAsia="zh-CN"/>
              </w:rPr>
              <w:t>2.</w:t>
            </w:r>
            <w:r>
              <w:rPr>
                <w:rFonts w:hint="default" w:ascii="Times New Roman" w:hAnsi="Times New Roman" w:eastAsia="方正仿宋简体" w:cs="Times New Roman"/>
                <w:b/>
                <w:bCs/>
                <w:color w:val="000000"/>
                <w:szCs w:val="21"/>
              </w:rPr>
              <w:t>参加城乡居民养老保险的，视为符合条件，不计分。</w:t>
            </w:r>
          </w:p>
        </w:tc>
        <w:tc>
          <w:tcPr>
            <w:tcW w:w="5953" w:type="dxa"/>
            <w:tcBorders>
              <w:top w:val="single" w:color="auto" w:sz="4" w:space="0"/>
              <w:left w:val="single" w:color="auto" w:sz="4" w:space="0"/>
              <w:bottom w:val="single" w:color="auto" w:sz="4" w:space="0"/>
              <w:right w:val="single" w:color="auto" w:sz="4" w:space="0"/>
            </w:tcBorders>
            <w:noWrap w:val="0"/>
            <w:vAlign w:val="center"/>
          </w:tcPr>
          <w:p w14:paraId="577EC5EB">
            <w:pPr>
              <w:spacing w:line="400" w:lineRule="exact"/>
              <w:rPr>
                <w:rFonts w:hint="default" w:ascii="Times New Roman" w:hAnsi="Times New Roman" w:eastAsia="方正仿宋简体" w:cs="Times New Roman"/>
                <w:b/>
                <w:bCs/>
                <w:color w:val="000000"/>
                <w:szCs w:val="21"/>
                <w:lang w:eastAsia="zh-CN"/>
              </w:rPr>
            </w:pPr>
            <w:r>
              <w:rPr>
                <w:rFonts w:hint="default" w:ascii="Times New Roman" w:hAnsi="Times New Roman" w:eastAsia="方正仿宋简体" w:cs="Times New Roman"/>
                <w:b/>
                <w:bCs/>
                <w:color w:val="000000"/>
                <w:szCs w:val="21"/>
              </w:rPr>
              <w:t>1.参保人员应为适龄儿童父（母），计分以一方为准，父母双方不累加。</w:t>
            </w:r>
          </w:p>
          <w:p w14:paraId="4DD8D5AC">
            <w:pPr>
              <w:spacing w:line="400" w:lineRule="exact"/>
              <w:rPr>
                <w:rFonts w:hint="default" w:ascii="Times New Roman" w:hAnsi="Times New Roman" w:eastAsia="方正仿宋简体" w:cs="Times New Roman"/>
                <w:b/>
                <w:bCs/>
                <w:color w:val="000000"/>
                <w:szCs w:val="21"/>
                <w:lang w:eastAsia="zh-CN"/>
              </w:rPr>
            </w:pPr>
            <w:r>
              <w:rPr>
                <w:rFonts w:hint="default" w:ascii="Times New Roman" w:hAnsi="Times New Roman" w:eastAsia="方正仿宋简体" w:cs="Times New Roman"/>
                <w:b/>
                <w:bCs/>
                <w:color w:val="000000"/>
                <w:szCs w:val="21"/>
              </w:rPr>
              <w:t>2.参保计分年限为当前连续缴纳保费时间，单位因欠费或增员产生的补缴可以计分，但个人补缴的不予计分。</w:t>
            </w:r>
          </w:p>
          <w:p w14:paraId="6D495A2B">
            <w:pPr>
              <w:spacing w:line="400" w:lineRule="exact"/>
              <w:rPr>
                <w:rFonts w:hint="default" w:ascii="Times New Roman" w:hAnsi="Times New Roman" w:eastAsia="方正仿宋简体" w:cs="Times New Roman"/>
                <w:b/>
                <w:bCs/>
                <w:color w:val="000000"/>
                <w:szCs w:val="21"/>
              </w:rPr>
            </w:pPr>
            <w:r>
              <w:rPr>
                <w:rFonts w:hint="default" w:ascii="Times New Roman" w:hAnsi="Times New Roman" w:eastAsia="方正仿宋简体" w:cs="Times New Roman"/>
                <w:b/>
                <w:bCs/>
                <w:color w:val="000000"/>
                <w:szCs w:val="21"/>
              </w:rPr>
              <w:t>3.时间计算：社会保险费缴费截止时间为当年</w:t>
            </w:r>
            <w:r>
              <w:rPr>
                <w:rFonts w:hint="default" w:ascii="Times New Roman" w:hAnsi="Times New Roman" w:eastAsia="方正仿宋简体" w:cs="Times New Roman"/>
                <w:b/>
                <w:bCs/>
                <w:color w:val="000000"/>
                <w:szCs w:val="21"/>
                <w:lang w:val="en-US" w:eastAsia="zh-CN"/>
              </w:rPr>
              <w:t>7</w:t>
            </w:r>
            <w:r>
              <w:rPr>
                <w:rFonts w:hint="default" w:ascii="Times New Roman" w:hAnsi="Times New Roman" w:eastAsia="方正仿宋简体" w:cs="Times New Roman"/>
                <w:b/>
                <w:bCs/>
                <w:color w:val="000000"/>
                <w:szCs w:val="21"/>
              </w:rPr>
              <w:t>月31日，且按月连续缴纳。</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24D4D274">
            <w:pPr>
              <w:spacing w:line="400" w:lineRule="exact"/>
              <w:rPr>
                <w:rFonts w:hint="default" w:ascii="Times New Roman" w:hAnsi="Times New Roman" w:eastAsia="方正仿宋简体" w:cs="Times New Roman"/>
                <w:b/>
                <w:bCs/>
                <w:color w:val="000000"/>
                <w:szCs w:val="21"/>
                <w:lang w:eastAsia="zh-CN"/>
              </w:rPr>
            </w:pPr>
            <w:r>
              <w:rPr>
                <w:rFonts w:hint="default" w:ascii="Times New Roman" w:hAnsi="Times New Roman" w:eastAsia="方正仿宋简体" w:cs="Times New Roman"/>
                <w:b/>
                <w:bCs/>
                <w:color w:val="000000"/>
                <w:szCs w:val="21"/>
              </w:rPr>
              <w:t>参保人员需提供身份证原件及社会保险参保证明原件（在济宁市参加社会保险的参保人员可登录济宁市社会保险事业中心网站自助打印社会保险参保证明）</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1B3B133">
            <w:pPr>
              <w:spacing w:line="400" w:lineRule="exact"/>
              <w:jc w:val="center"/>
              <w:rPr>
                <w:rFonts w:hint="eastAsia" w:ascii="Times New Roman" w:hAnsi="Times New Roman" w:eastAsia="方正仿宋简体" w:cs="Times New Roman"/>
                <w:b/>
                <w:bCs/>
                <w:color w:val="000000"/>
                <w:szCs w:val="21"/>
                <w:lang w:eastAsia="zh-CN"/>
              </w:rPr>
            </w:pPr>
            <w:r>
              <w:rPr>
                <w:rFonts w:hint="eastAsia" w:eastAsia="方正仿宋简体" w:cs="Times New Roman"/>
                <w:b/>
                <w:bCs/>
                <w:color w:val="000000"/>
                <w:szCs w:val="21"/>
                <w:lang w:val="en-US" w:eastAsia="zh-CN"/>
              </w:rPr>
              <w:t>社保中心</w:t>
            </w:r>
          </w:p>
        </w:tc>
        <w:tc>
          <w:tcPr>
            <w:tcW w:w="1172" w:type="dxa"/>
            <w:tcBorders>
              <w:top w:val="single" w:color="auto" w:sz="4" w:space="0"/>
              <w:left w:val="single" w:color="auto" w:sz="4" w:space="0"/>
              <w:bottom w:val="single" w:color="auto" w:sz="4" w:space="0"/>
              <w:right w:val="single" w:color="auto" w:sz="4" w:space="0"/>
            </w:tcBorders>
            <w:noWrap w:val="0"/>
            <w:vAlign w:val="center"/>
          </w:tcPr>
          <w:p w14:paraId="61A05271">
            <w:pPr>
              <w:spacing w:line="400" w:lineRule="exact"/>
              <w:jc w:val="center"/>
              <w:rPr>
                <w:rFonts w:hint="default" w:ascii="Times New Roman" w:hAnsi="Times New Roman" w:eastAsia="方正仿宋简体" w:cs="Times New Roman"/>
                <w:b/>
                <w:bCs/>
                <w:color w:val="000000"/>
                <w:szCs w:val="21"/>
              </w:rPr>
            </w:pPr>
            <w:r>
              <w:rPr>
                <w:rFonts w:hint="default" w:ascii="Times New Roman" w:hAnsi="Times New Roman" w:eastAsia="方正仿宋简体" w:cs="Times New Roman"/>
                <w:b/>
                <w:bCs/>
                <w:color w:val="000000"/>
                <w:szCs w:val="21"/>
              </w:rPr>
              <w:t>最近连续缴费需满</w:t>
            </w:r>
            <w:r>
              <w:rPr>
                <w:rFonts w:hint="default" w:ascii="Times New Roman" w:hAnsi="Times New Roman" w:eastAsia="方正仿宋简体" w:cs="Times New Roman"/>
                <w:b/>
                <w:bCs/>
                <w:color w:val="000000"/>
                <w:szCs w:val="21"/>
                <w:lang w:val="en-US" w:eastAsia="zh-CN"/>
              </w:rPr>
              <w:t>6</w:t>
            </w:r>
            <w:r>
              <w:rPr>
                <w:rFonts w:hint="default" w:ascii="Times New Roman" w:hAnsi="Times New Roman" w:eastAsia="方正仿宋简体" w:cs="Times New Roman"/>
                <w:b/>
                <w:bCs/>
                <w:color w:val="000000"/>
                <w:szCs w:val="21"/>
              </w:rPr>
              <w:t>个月</w:t>
            </w:r>
          </w:p>
        </w:tc>
      </w:tr>
      <w:tr w14:paraId="19D664A0">
        <w:tblPrEx>
          <w:tblCellMar>
            <w:top w:w="0" w:type="dxa"/>
            <w:left w:w="108" w:type="dxa"/>
            <w:bottom w:w="0" w:type="dxa"/>
            <w:right w:w="108" w:type="dxa"/>
          </w:tblCellMar>
        </w:tblPrEx>
        <w:trPr>
          <w:trHeight w:val="3786" w:hRule="atLeast"/>
          <w:jc w:val="center"/>
        </w:trPr>
        <w:tc>
          <w:tcPr>
            <w:tcW w:w="640" w:type="dxa"/>
            <w:tcBorders>
              <w:top w:val="single" w:color="auto" w:sz="4" w:space="0"/>
              <w:left w:val="single" w:color="auto" w:sz="4" w:space="0"/>
              <w:bottom w:val="single" w:color="auto" w:sz="4" w:space="0"/>
              <w:right w:val="single" w:color="auto" w:sz="4" w:space="0"/>
            </w:tcBorders>
            <w:noWrap w:val="0"/>
            <w:vAlign w:val="center"/>
          </w:tcPr>
          <w:p w14:paraId="74A0DD3C">
            <w:pPr>
              <w:spacing w:line="400" w:lineRule="exact"/>
              <w:jc w:val="center"/>
              <w:rPr>
                <w:rFonts w:hint="default" w:ascii="Times New Roman" w:hAnsi="Times New Roman" w:eastAsia="方正仿宋简体" w:cs="Times New Roman"/>
                <w:b/>
                <w:bCs/>
                <w:color w:val="000000"/>
                <w:szCs w:val="21"/>
              </w:rPr>
            </w:pPr>
            <w:r>
              <w:rPr>
                <w:rFonts w:hint="default" w:ascii="Times New Roman" w:hAnsi="Times New Roman" w:eastAsia="方正仿宋简体" w:cs="Times New Roman"/>
                <w:b/>
                <w:bCs/>
                <w:color w:val="000000"/>
                <w:szCs w:val="21"/>
              </w:rPr>
              <w:t>4</w:t>
            </w:r>
          </w:p>
        </w:tc>
        <w:tc>
          <w:tcPr>
            <w:tcW w:w="786" w:type="dxa"/>
            <w:tcBorders>
              <w:top w:val="single" w:color="auto" w:sz="4" w:space="0"/>
              <w:left w:val="single" w:color="auto" w:sz="4" w:space="0"/>
              <w:bottom w:val="single" w:color="auto" w:sz="4" w:space="0"/>
              <w:right w:val="single" w:color="auto" w:sz="4" w:space="0"/>
            </w:tcBorders>
            <w:noWrap w:val="0"/>
            <w:vAlign w:val="center"/>
          </w:tcPr>
          <w:p w14:paraId="5B717518">
            <w:pPr>
              <w:spacing w:line="400" w:lineRule="exact"/>
              <w:jc w:val="center"/>
              <w:rPr>
                <w:rFonts w:hint="default" w:ascii="Times New Roman" w:hAnsi="Times New Roman" w:eastAsia="方正仿宋简体" w:cs="Times New Roman"/>
                <w:b/>
                <w:bCs/>
                <w:color w:val="000000"/>
                <w:szCs w:val="21"/>
                <w:lang w:eastAsia="zh-CN"/>
              </w:rPr>
            </w:pPr>
            <w:r>
              <w:rPr>
                <w:rFonts w:hint="default" w:ascii="Times New Roman" w:hAnsi="Times New Roman" w:eastAsia="方正仿宋简体" w:cs="Times New Roman"/>
                <w:b/>
                <w:bCs/>
                <w:color w:val="000000"/>
                <w:szCs w:val="21"/>
              </w:rPr>
              <w:t>居</w:t>
            </w:r>
          </w:p>
          <w:p w14:paraId="6460D786">
            <w:pPr>
              <w:spacing w:line="400" w:lineRule="exact"/>
              <w:jc w:val="center"/>
              <w:rPr>
                <w:rFonts w:hint="default" w:ascii="Times New Roman" w:hAnsi="Times New Roman" w:eastAsia="方正仿宋简体" w:cs="Times New Roman"/>
                <w:b/>
                <w:bCs/>
                <w:color w:val="000000"/>
                <w:szCs w:val="21"/>
                <w:lang w:eastAsia="zh-CN"/>
              </w:rPr>
            </w:pPr>
            <w:r>
              <w:rPr>
                <w:rFonts w:hint="default" w:ascii="Times New Roman" w:hAnsi="Times New Roman" w:eastAsia="方正仿宋简体" w:cs="Times New Roman"/>
                <w:b/>
                <w:bCs/>
                <w:color w:val="000000"/>
                <w:szCs w:val="21"/>
              </w:rPr>
              <w:t>住</w:t>
            </w:r>
          </w:p>
          <w:p w14:paraId="4F59246C">
            <w:pPr>
              <w:spacing w:line="400" w:lineRule="exact"/>
              <w:jc w:val="center"/>
              <w:rPr>
                <w:rFonts w:hint="default" w:ascii="Times New Roman" w:hAnsi="Times New Roman" w:eastAsia="方正仿宋简体" w:cs="Times New Roman"/>
                <w:b/>
                <w:bCs/>
                <w:color w:val="000000"/>
                <w:szCs w:val="21"/>
              </w:rPr>
            </w:pPr>
            <w:r>
              <w:rPr>
                <w:rFonts w:hint="default" w:ascii="Times New Roman" w:hAnsi="Times New Roman" w:eastAsia="方正仿宋简体" w:cs="Times New Roman"/>
                <w:b/>
                <w:bCs/>
                <w:color w:val="000000"/>
                <w:szCs w:val="21"/>
              </w:rPr>
              <w:t>证</w:t>
            </w:r>
          </w:p>
          <w:p w14:paraId="59388293">
            <w:pPr>
              <w:pStyle w:val="2"/>
              <w:rPr>
                <w:rFonts w:hint="eastAsia" w:eastAsia="方正仿宋简体"/>
                <w:lang w:eastAsia="zh-CN"/>
              </w:rPr>
            </w:pPr>
            <w:r>
              <w:rPr>
                <w:rFonts w:hint="eastAsia" w:eastAsia="方正仿宋简体" w:cs="Times New Roman"/>
                <w:b/>
                <w:bCs/>
                <w:color w:val="000000"/>
                <w:sz w:val="18"/>
                <w:szCs w:val="18"/>
                <w:lang w:val="en-US" w:eastAsia="zh-CN"/>
              </w:rPr>
              <w:t>（10分）</w:t>
            </w:r>
          </w:p>
        </w:tc>
        <w:tc>
          <w:tcPr>
            <w:tcW w:w="2693" w:type="dxa"/>
            <w:gridSpan w:val="2"/>
            <w:tcBorders>
              <w:top w:val="single" w:color="auto" w:sz="4" w:space="0"/>
              <w:left w:val="single" w:color="auto" w:sz="4" w:space="0"/>
              <w:bottom w:val="single" w:color="auto" w:sz="4" w:space="0"/>
              <w:right w:val="single" w:color="auto" w:sz="4" w:space="0"/>
            </w:tcBorders>
            <w:noWrap w:val="0"/>
            <w:vAlign w:val="center"/>
          </w:tcPr>
          <w:p w14:paraId="5C5FADA7">
            <w:pPr>
              <w:spacing w:line="400" w:lineRule="exact"/>
              <w:rPr>
                <w:rFonts w:hint="default" w:ascii="Times New Roman" w:hAnsi="Times New Roman" w:eastAsia="方正仿宋简体" w:cs="Times New Roman"/>
                <w:b/>
                <w:bCs/>
                <w:color w:val="000000"/>
                <w:szCs w:val="21"/>
                <w:lang w:eastAsia="zh-CN"/>
              </w:rPr>
            </w:pPr>
            <w:r>
              <w:rPr>
                <w:rFonts w:hint="default" w:ascii="Times New Roman" w:hAnsi="Times New Roman" w:eastAsia="方正仿宋简体" w:cs="Times New Roman"/>
                <w:b/>
                <w:bCs/>
                <w:color w:val="000000"/>
                <w:szCs w:val="21"/>
              </w:rPr>
              <w:t>1. 居住证满一年，计10分；未满一年，计5分（截止日期为当年</w:t>
            </w:r>
            <w:r>
              <w:rPr>
                <w:rFonts w:hint="default" w:ascii="Times New Roman" w:hAnsi="Times New Roman" w:eastAsia="方正仿宋简体" w:cs="Times New Roman"/>
                <w:b/>
                <w:bCs/>
                <w:color w:val="000000"/>
                <w:szCs w:val="21"/>
                <w:lang w:val="en-US" w:eastAsia="zh-CN"/>
              </w:rPr>
              <w:t>7</w:t>
            </w:r>
            <w:r>
              <w:rPr>
                <w:rFonts w:hint="default" w:ascii="Times New Roman" w:hAnsi="Times New Roman" w:eastAsia="方正仿宋简体" w:cs="Times New Roman"/>
                <w:b/>
                <w:bCs/>
                <w:color w:val="000000"/>
                <w:szCs w:val="21"/>
              </w:rPr>
              <w:t>月31日）。</w:t>
            </w:r>
          </w:p>
          <w:p w14:paraId="3B616BF0">
            <w:pPr>
              <w:spacing w:line="400" w:lineRule="exact"/>
              <w:rPr>
                <w:rFonts w:hint="default" w:ascii="Times New Roman" w:hAnsi="Times New Roman" w:cs="Times New Roman"/>
                <w:color w:val="000000"/>
              </w:rPr>
            </w:pPr>
            <w:r>
              <w:rPr>
                <w:rFonts w:hint="default" w:ascii="Times New Roman" w:hAnsi="Times New Roman" w:eastAsia="方正仿宋简体" w:cs="Times New Roman"/>
                <w:b/>
                <w:bCs/>
                <w:color w:val="000000"/>
                <w:szCs w:val="21"/>
              </w:rPr>
              <w:t>2.</w:t>
            </w:r>
            <w:r>
              <w:rPr>
                <w:rFonts w:hint="eastAsia" w:ascii="Times New Roman" w:hAnsi="Times New Roman" w:eastAsia="方正仿宋简体" w:cs="Times New Roman"/>
                <w:b/>
                <w:bCs/>
                <w:color w:val="000000"/>
                <w:szCs w:val="21"/>
                <w:lang w:eastAsia="zh-CN"/>
              </w:rPr>
              <w:t>已</w:t>
            </w:r>
            <w:r>
              <w:rPr>
                <w:rFonts w:hint="default" w:ascii="Times New Roman" w:hAnsi="Times New Roman" w:eastAsia="方正仿宋简体" w:cs="Times New Roman"/>
                <w:b/>
                <w:bCs/>
                <w:color w:val="000000"/>
                <w:szCs w:val="21"/>
              </w:rPr>
              <w:t>申请受理未取得居住证的，视为符合条件，不计分。</w:t>
            </w:r>
            <w:r>
              <w:rPr>
                <w:rFonts w:hint="default" w:ascii="Times New Roman" w:hAnsi="Times New Roman" w:cs="Times New Roman"/>
                <w:color w:val="000000"/>
              </w:rPr>
              <w:t>3.</w:t>
            </w:r>
            <w:r>
              <w:rPr>
                <w:rFonts w:hint="default" w:ascii="Times New Roman" w:hAnsi="Times New Roman" w:eastAsia="方正仿宋简体" w:cs="Times New Roman"/>
                <w:b/>
                <w:bCs/>
                <w:color w:val="000000"/>
                <w:kern w:val="2"/>
                <w:sz w:val="21"/>
                <w:szCs w:val="21"/>
                <w:lang w:val="en-US" w:eastAsia="zh-CN" w:bidi="ar-SA"/>
              </w:rPr>
              <w:t>济宁市城区不能办理居住证的，视为符合条件，不计分。</w:t>
            </w:r>
          </w:p>
        </w:tc>
        <w:tc>
          <w:tcPr>
            <w:tcW w:w="5953" w:type="dxa"/>
            <w:tcBorders>
              <w:top w:val="single" w:color="auto" w:sz="4" w:space="0"/>
              <w:left w:val="single" w:color="auto" w:sz="4" w:space="0"/>
              <w:bottom w:val="single" w:color="auto" w:sz="4" w:space="0"/>
              <w:right w:val="single" w:color="auto" w:sz="4" w:space="0"/>
            </w:tcBorders>
            <w:noWrap w:val="0"/>
            <w:vAlign w:val="center"/>
          </w:tcPr>
          <w:p w14:paraId="484929F7">
            <w:pPr>
              <w:spacing w:line="400" w:lineRule="exact"/>
              <w:jc w:val="left"/>
              <w:rPr>
                <w:rFonts w:hint="default" w:ascii="Times New Roman" w:hAnsi="Times New Roman" w:eastAsia="方正仿宋简体" w:cs="Times New Roman"/>
                <w:b/>
                <w:bCs/>
                <w:color w:val="000000"/>
                <w:szCs w:val="21"/>
                <w:lang w:eastAsia="zh-CN"/>
              </w:rPr>
            </w:pPr>
            <w:r>
              <w:rPr>
                <w:rFonts w:hint="default" w:ascii="Times New Roman" w:hAnsi="Times New Roman" w:eastAsia="方正仿宋简体" w:cs="Times New Roman"/>
                <w:b/>
                <w:bCs/>
                <w:color w:val="000000"/>
                <w:szCs w:val="21"/>
              </w:rPr>
              <w:t>1.适龄儿童父（母）</w:t>
            </w:r>
            <w:r>
              <w:rPr>
                <w:rFonts w:hint="eastAsia" w:eastAsia="方正仿宋简体" w:cs="Times New Roman"/>
                <w:b/>
                <w:bCs/>
                <w:color w:val="000000"/>
                <w:szCs w:val="21"/>
                <w:lang w:eastAsia="zh-CN"/>
              </w:rPr>
              <w:t>（至少一方）</w:t>
            </w:r>
            <w:r>
              <w:rPr>
                <w:rFonts w:hint="default" w:ascii="Times New Roman" w:hAnsi="Times New Roman" w:eastAsia="方正仿宋简体" w:cs="Times New Roman"/>
                <w:b/>
                <w:bCs/>
                <w:color w:val="000000"/>
                <w:szCs w:val="21"/>
              </w:rPr>
              <w:t>办理居住证。                                                                                                                                                                           2.居住证地址与在城区实际居住地址应一致。</w:t>
            </w:r>
          </w:p>
          <w:p w14:paraId="63523427">
            <w:pPr>
              <w:spacing w:line="400" w:lineRule="exact"/>
              <w:jc w:val="left"/>
              <w:rPr>
                <w:rFonts w:hint="default" w:ascii="Times New Roman" w:hAnsi="Times New Roman" w:eastAsia="方正仿宋简体" w:cs="Times New Roman"/>
                <w:b/>
                <w:bCs/>
                <w:color w:val="000000"/>
                <w:szCs w:val="21"/>
              </w:rPr>
            </w:pPr>
            <w:r>
              <w:rPr>
                <w:rFonts w:hint="default" w:ascii="Times New Roman" w:hAnsi="Times New Roman" w:eastAsia="方正仿宋简体" w:cs="Times New Roman"/>
                <w:b/>
                <w:bCs/>
                <w:color w:val="000000"/>
                <w:szCs w:val="21"/>
              </w:rPr>
              <w:t>3.居住证办理截止时间为当年入学网上报名截止时间。</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5D3E9108">
            <w:pPr>
              <w:spacing w:line="400" w:lineRule="exact"/>
              <w:rPr>
                <w:rFonts w:hint="default" w:ascii="Times New Roman" w:hAnsi="Times New Roman" w:eastAsia="方正仿宋简体" w:cs="Times New Roman"/>
                <w:b/>
                <w:bCs/>
                <w:color w:val="000000"/>
                <w:szCs w:val="21"/>
              </w:rPr>
            </w:pPr>
            <w:r>
              <w:rPr>
                <w:rFonts w:hint="default" w:ascii="Times New Roman" w:hAnsi="Times New Roman" w:eastAsia="方正仿宋简体" w:cs="Times New Roman"/>
                <w:b/>
                <w:bCs/>
                <w:color w:val="000000"/>
                <w:szCs w:val="21"/>
              </w:rPr>
              <w:t>提供居住证、申请受理证明、身份证和户口簿。</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948FA7F">
            <w:pPr>
              <w:spacing w:line="400" w:lineRule="exact"/>
              <w:jc w:val="center"/>
              <w:rPr>
                <w:rFonts w:hint="default" w:ascii="Times New Roman" w:hAnsi="Times New Roman" w:eastAsia="方正仿宋简体" w:cs="Times New Roman"/>
                <w:b/>
                <w:bCs/>
                <w:color w:val="000000"/>
                <w:szCs w:val="21"/>
              </w:rPr>
            </w:pPr>
            <w:r>
              <w:rPr>
                <w:rFonts w:hint="default" w:ascii="Times New Roman" w:hAnsi="Times New Roman" w:eastAsia="方正仿宋简体" w:cs="Times New Roman"/>
                <w:b/>
                <w:bCs/>
                <w:color w:val="000000"/>
                <w:szCs w:val="21"/>
              </w:rPr>
              <w:t>公安部门</w:t>
            </w:r>
          </w:p>
        </w:tc>
        <w:tc>
          <w:tcPr>
            <w:tcW w:w="1172" w:type="dxa"/>
            <w:tcBorders>
              <w:top w:val="single" w:color="auto" w:sz="4" w:space="0"/>
              <w:left w:val="single" w:color="auto" w:sz="4" w:space="0"/>
              <w:bottom w:val="single" w:color="auto" w:sz="4" w:space="0"/>
              <w:right w:val="single" w:color="auto" w:sz="4" w:space="0"/>
            </w:tcBorders>
            <w:noWrap w:val="0"/>
            <w:vAlign w:val="center"/>
          </w:tcPr>
          <w:p w14:paraId="48483B4B">
            <w:pPr>
              <w:spacing w:line="400" w:lineRule="exact"/>
              <w:jc w:val="center"/>
              <w:rPr>
                <w:rFonts w:hint="default" w:ascii="Times New Roman" w:hAnsi="Times New Roman" w:eastAsia="方正仿宋简体" w:cs="Times New Roman"/>
                <w:b/>
                <w:bCs/>
                <w:color w:val="000000"/>
                <w:szCs w:val="21"/>
              </w:rPr>
            </w:pPr>
            <w:r>
              <w:rPr>
                <w:rFonts w:hint="default" w:ascii="Times New Roman" w:hAnsi="Times New Roman" w:eastAsia="方正仿宋简体" w:cs="Times New Roman"/>
                <w:b/>
                <w:bCs/>
                <w:color w:val="000000"/>
                <w:szCs w:val="21"/>
              </w:rPr>
              <w:t>连续居住</w:t>
            </w:r>
            <w:r>
              <w:rPr>
                <w:rFonts w:hint="default" w:ascii="Times New Roman" w:hAnsi="Times New Roman" w:eastAsia="方正仿宋简体" w:cs="Times New Roman"/>
                <w:b/>
                <w:bCs/>
                <w:color w:val="000000"/>
                <w:szCs w:val="21"/>
                <w:lang w:val="en-US" w:eastAsia="zh-CN"/>
              </w:rPr>
              <w:t>6</w:t>
            </w:r>
            <w:r>
              <w:rPr>
                <w:rFonts w:hint="default" w:ascii="Times New Roman" w:hAnsi="Times New Roman" w:eastAsia="方正仿宋简体" w:cs="Times New Roman"/>
                <w:b/>
                <w:bCs/>
                <w:color w:val="000000"/>
                <w:szCs w:val="21"/>
              </w:rPr>
              <w:t>个月</w:t>
            </w:r>
          </w:p>
        </w:tc>
      </w:tr>
    </w:tbl>
    <w:tbl>
      <w:tblPr>
        <w:tblStyle w:val="6"/>
        <w:tblpPr w:leftFromText="180" w:rightFromText="180" w:vertAnchor="text" w:tblpX="15506" w:tblpY="-947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0"/>
      </w:tblGrid>
      <w:tr w14:paraId="7E97F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970" w:type="dxa"/>
            <w:noWrap w:val="0"/>
            <w:vAlign w:val="top"/>
          </w:tcPr>
          <w:p w14:paraId="2E62D10F">
            <w:pPr>
              <w:spacing w:line="400" w:lineRule="exact"/>
              <w:rPr>
                <w:rFonts w:hint="default" w:ascii="Times New Roman" w:hAnsi="Times New Roman" w:eastAsia="方正仿宋简体" w:cs="Times New Roman"/>
                <w:b/>
                <w:bCs/>
                <w:color w:val="000000"/>
                <w:szCs w:val="21"/>
                <w:vertAlign w:val="baseline"/>
              </w:rPr>
            </w:pPr>
          </w:p>
        </w:tc>
      </w:tr>
    </w:tbl>
    <w:tbl>
      <w:tblPr>
        <w:tblStyle w:val="6"/>
        <w:tblpPr w:leftFromText="180" w:rightFromText="180" w:vertAnchor="text" w:tblpX="15506" w:tblpY="-1502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0"/>
      </w:tblGrid>
      <w:tr w14:paraId="6A201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970" w:type="dxa"/>
            <w:noWrap w:val="0"/>
            <w:vAlign w:val="top"/>
          </w:tcPr>
          <w:p w14:paraId="591DF834">
            <w:pPr>
              <w:spacing w:line="400" w:lineRule="exact"/>
              <w:rPr>
                <w:rFonts w:hint="default" w:ascii="Times New Roman" w:hAnsi="Times New Roman" w:eastAsia="方正仿宋简体" w:cs="Times New Roman"/>
                <w:b/>
                <w:bCs/>
                <w:color w:val="000000"/>
                <w:szCs w:val="21"/>
                <w:vertAlign w:val="baseline"/>
              </w:rPr>
            </w:pPr>
          </w:p>
        </w:tc>
      </w:tr>
    </w:tbl>
    <w:tbl>
      <w:tblPr>
        <w:tblStyle w:val="6"/>
        <w:tblpPr w:leftFromText="180" w:rightFromText="180" w:vertAnchor="text" w:tblpX="15506" w:tblpY="-1501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0"/>
      </w:tblGrid>
      <w:tr w14:paraId="5BA8F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970" w:type="dxa"/>
            <w:noWrap w:val="0"/>
            <w:vAlign w:val="top"/>
          </w:tcPr>
          <w:p w14:paraId="0F738965">
            <w:pPr>
              <w:spacing w:line="400" w:lineRule="exact"/>
              <w:rPr>
                <w:rFonts w:hint="default" w:ascii="Times New Roman" w:hAnsi="Times New Roman" w:eastAsia="方正仿宋简体" w:cs="Times New Roman"/>
                <w:b/>
                <w:bCs/>
                <w:color w:val="000000"/>
                <w:szCs w:val="21"/>
                <w:vertAlign w:val="baseline"/>
              </w:rPr>
            </w:pPr>
          </w:p>
        </w:tc>
      </w:tr>
    </w:tbl>
    <w:tbl>
      <w:tblPr>
        <w:tblStyle w:val="6"/>
        <w:tblpPr w:leftFromText="180" w:rightFromText="180" w:vertAnchor="text" w:tblpX="15506" w:tblpY="-1498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0"/>
      </w:tblGrid>
      <w:tr w14:paraId="2BF13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2000" w:type="dxa"/>
            <w:noWrap w:val="0"/>
            <w:vAlign w:val="top"/>
          </w:tcPr>
          <w:p w14:paraId="1DAC44F0">
            <w:pPr>
              <w:spacing w:line="400" w:lineRule="exact"/>
              <w:rPr>
                <w:rFonts w:hint="default" w:ascii="Times New Roman" w:hAnsi="Times New Roman" w:eastAsia="方正仿宋简体" w:cs="Times New Roman"/>
                <w:b/>
                <w:bCs/>
                <w:color w:val="000000"/>
                <w:szCs w:val="21"/>
                <w:vertAlign w:val="baseline"/>
              </w:rPr>
            </w:pPr>
          </w:p>
        </w:tc>
      </w:tr>
    </w:tbl>
    <w:p w14:paraId="4D3E05F4">
      <w:pPr>
        <w:spacing w:line="400" w:lineRule="exact"/>
        <w:rPr>
          <w:rFonts w:hint="default" w:ascii="Times New Roman" w:hAnsi="Times New Roman" w:eastAsia="方正仿宋简体" w:cs="Times New Roman"/>
          <w:b/>
          <w:bCs/>
          <w:color w:val="000000"/>
          <w:szCs w:val="21"/>
          <w:lang w:val="en-US" w:eastAsia="zh-CN"/>
        </w:rPr>
      </w:pPr>
      <w:r>
        <w:rPr>
          <w:rFonts w:hint="default" w:ascii="Times New Roman" w:hAnsi="Times New Roman" w:eastAsia="方正仿宋简体" w:cs="Times New Roman"/>
          <w:b/>
          <w:bCs/>
          <w:color w:val="000000"/>
          <w:szCs w:val="21"/>
        </w:rPr>
        <w:t>备注：</w:t>
      </w:r>
      <w:r>
        <w:rPr>
          <w:rFonts w:hint="default" w:ascii="Times New Roman" w:hAnsi="Times New Roman" w:eastAsia="方正仿宋简体" w:cs="Times New Roman"/>
          <w:b/>
          <w:bCs/>
          <w:color w:val="000000"/>
          <w:szCs w:val="21"/>
          <w:lang w:val="en-US" w:eastAsia="zh-CN"/>
        </w:rPr>
        <w:t>1.居所、务工、社保等材料为近五年内的（截止日期为当年7月31日）；纳税凭证为近3年的（截止日期为上一年12月31日</w:t>
      </w:r>
      <w:r>
        <w:rPr>
          <w:rFonts w:hint="eastAsia" w:eastAsia="方正仿宋简体" w:cs="Times New Roman"/>
          <w:b/>
          <w:bCs/>
          <w:color w:val="000000"/>
          <w:szCs w:val="21"/>
          <w:lang w:val="en-US" w:eastAsia="zh-CN"/>
        </w:rPr>
        <w:t>）。</w:t>
      </w:r>
    </w:p>
    <w:p w14:paraId="5B26D1DD">
      <w:pPr>
        <w:spacing w:line="400" w:lineRule="exact"/>
        <w:ind w:firstLine="632" w:firstLineChars="300"/>
        <w:rPr>
          <w:rFonts w:hint="eastAsia" w:eastAsia="方正仿宋简体" w:cs="Times New Roman"/>
          <w:b/>
          <w:bCs/>
          <w:color w:val="000000"/>
          <w:szCs w:val="21"/>
          <w:lang w:eastAsia="zh-CN"/>
        </w:rPr>
      </w:pPr>
      <w:r>
        <w:rPr>
          <w:rFonts w:hint="default" w:ascii="Times New Roman" w:hAnsi="Times New Roman" w:eastAsia="方正仿宋简体" w:cs="Times New Roman"/>
          <w:b/>
          <w:bCs/>
          <w:color w:val="000000"/>
          <w:szCs w:val="21"/>
          <w:lang w:val="en-US" w:eastAsia="zh-CN"/>
        </w:rPr>
        <w:t>2.</w:t>
      </w:r>
      <w:r>
        <w:rPr>
          <w:rFonts w:hint="default" w:ascii="Times New Roman" w:hAnsi="Times New Roman" w:eastAsia="方正仿宋简体" w:cs="Times New Roman"/>
          <w:b/>
          <w:bCs/>
          <w:color w:val="000000"/>
          <w:szCs w:val="21"/>
        </w:rPr>
        <w:t>务工、社保等材料须为同一位监护人的；居所、居住证等材料可为不同监护人</w:t>
      </w:r>
      <w:r>
        <w:rPr>
          <w:rFonts w:hint="eastAsia" w:eastAsia="方正仿宋简体" w:cs="Times New Roman"/>
          <w:b/>
          <w:bCs/>
          <w:color w:val="000000"/>
          <w:szCs w:val="21"/>
          <w:lang w:eastAsia="zh-CN"/>
        </w:rPr>
        <w:t>。</w:t>
      </w:r>
    </w:p>
    <w:p w14:paraId="591464B7">
      <w:pPr>
        <w:pStyle w:val="2"/>
        <w:rPr>
          <w:rFonts w:hint="eastAsia"/>
          <w:lang w:val="en-US" w:eastAsia="zh-CN"/>
        </w:rPr>
        <w:sectPr>
          <w:pgSz w:w="16838" w:h="11906" w:orient="landscape"/>
          <w:pgMar w:top="1191" w:right="1440" w:bottom="1191" w:left="1440" w:header="851" w:footer="992" w:gutter="0"/>
          <w:pgBorders>
            <w:top w:val="none" w:sz="0" w:space="0"/>
            <w:left w:val="none" w:sz="0" w:space="0"/>
            <w:bottom w:val="none" w:sz="0" w:space="0"/>
            <w:right w:val="none" w:sz="0" w:space="0"/>
          </w:pgBorders>
          <w:pgNumType w:fmt="numberInDash"/>
          <w:cols w:space="720" w:num="1"/>
          <w:rtlGutter w:val="0"/>
          <w:docGrid w:type="lines" w:linePitch="312" w:charSpace="0"/>
        </w:sectPr>
      </w:pPr>
    </w:p>
    <w:p w14:paraId="78B14CDC"/>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3269E7"/>
    <w:rsid w:val="052878D5"/>
    <w:rsid w:val="098D1DCB"/>
    <w:rsid w:val="293C27AC"/>
    <w:rsid w:val="2A453167"/>
    <w:rsid w:val="453269E7"/>
    <w:rsid w:val="4AF73611"/>
    <w:rsid w:val="4C806158"/>
    <w:rsid w:val="68A91636"/>
    <w:rsid w:val="6B803C90"/>
    <w:rsid w:val="6BFFD975"/>
    <w:rsid w:val="6D7A2D94"/>
    <w:rsid w:val="71A719CC"/>
    <w:rsid w:val="72E37FDC"/>
    <w:rsid w:val="77AD2EC3"/>
    <w:rsid w:val="7EEEE4FC"/>
    <w:rsid w:val="A3CDC5A8"/>
    <w:rsid w:val="A77F80A0"/>
    <w:rsid w:val="BFFEE2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0"/>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1866</Words>
  <Characters>1945</Characters>
  <Lines>0</Lines>
  <Paragraphs>0</Paragraphs>
  <TotalTime>8</TotalTime>
  <ScaleCrop>false</ScaleCrop>
  <LinksUpToDate>false</LinksUpToDate>
  <CharactersWithSpaces>2209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2025-07-29T09:34:00Z</dcterms:created>
  <dc:creator>温暖如春</dc:creator>
  <cp:lastModifiedBy>温暖如春</cp:lastModifiedBy>
  <dcterms:modified xsi:type="dcterms:W3CDTF">2026-07-29T03:25:48Z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F10FBB553E024854BE92E521E12BA670_13</vt:lpwstr>
  </property>
  <property fmtid="{D5CDD505-2E9C-101B-9397-08002B2CF9AE}" pid="4" name="KSOTemplateDocerSaveRecord">
    <vt:lpwstr>eyJoZGlkIjoiN2FiNmJjMjUyYjQwZGIzZGZjZTAzMjg0ZDRmN2YyOTIiLCJ1c2VySWQiOiI0NDYzNjk0NDkifQ==</vt:lpwstr>
  </property>
</Properties>
</file>