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附件2</w:t>
      </w:r>
    </w:p>
    <w:p>
      <w:pPr>
        <w:spacing w:line="600" w:lineRule="exact"/>
        <w:jc w:val="center"/>
        <w:rPr>
          <w:rFonts w:hint="eastAsia" w:ascii="方正仿宋简体" w:eastAsia="方正仿宋简体"/>
          <w:b/>
          <w:color w:val="000000" w:themeColor="text1"/>
          <w:sz w:val="32"/>
          <w:szCs w:val="32"/>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太白湖新区进城务工人员随迁子女积分入学分值表</w:t>
      </w:r>
      <w:bookmarkStart w:id="0" w:name="_GoBack"/>
      <w:bookmarkEnd w:id="0"/>
    </w:p>
    <w:tbl>
      <w:tblPr>
        <w:tblStyle w:val="5"/>
        <w:tblW w:w="15670" w:type="dxa"/>
        <w:jc w:val="center"/>
        <w:tblLayout w:type="fixed"/>
        <w:tblCellMar>
          <w:top w:w="0" w:type="dxa"/>
          <w:left w:w="108" w:type="dxa"/>
          <w:bottom w:w="0" w:type="dxa"/>
          <w:right w:w="108" w:type="dxa"/>
        </w:tblCellMar>
      </w:tblPr>
      <w:tblGrid>
        <w:gridCol w:w="740"/>
        <w:gridCol w:w="640"/>
        <w:gridCol w:w="786"/>
        <w:gridCol w:w="708"/>
        <w:gridCol w:w="1985"/>
        <w:gridCol w:w="5953"/>
        <w:gridCol w:w="2552"/>
        <w:gridCol w:w="1134"/>
        <w:gridCol w:w="1172"/>
      </w:tblGrid>
      <w:tr>
        <w:tblPrEx>
          <w:tblCellMar>
            <w:top w:w="0" w:type="dxa"/>
            <w:left w:w="108" w:type="dxa"/>
            <w:bottom w:w="0" w:type="dxa"/>
            <w:right w:w="108" w:type="dxa"/>
          </w:tblCellMar>
        </w:tblPrEx>
        <w:trPr>
          <w:trHeight w:val="105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类别</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序号</w:t>
            </w: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指标内容及分值</w:t>
            </w:r>
          </w:p>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标准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实施说明</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提交证件证明材料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负责部门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619"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基础指标</w:t>
            </w: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both"/>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cente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both"/>
              <w:rPr>
                <w:rFonts w:hint="eastAsia" w:ascii="方正仿宋简体" w:hAnsi="仿宋" w:eastAsia="方正仿宋简体"/>
                <w:b/>
                <w:bCs/>
                <w:color w:val="000000" w:themeColor="text1"/>
                <w:szCs w:val="21"/>
                <w14:textFill>
                  <w14:solidFill>
                    <w14:schemeClr w14:val="tx1"/>
                  </w14:solidFill>
                </w14:textFill>
              </w:rPr>
            </w:pPr>
          </w:p>
          <w:p>
            <w:pPr>
              <w:pStyle w:val="2"/>
              <w:rPr>
                <w:rFonts w:hint="eastAsia"/>
              </w:rPr>
            </w:pPr>
          </w:p>
          <w:p>
            <w:pPr>
              <w:pStyle w:val="2"/>
              <w:rPr>
                <w:rFonts w:hint="eastAsia" w:ascii="方正仿宋简体" w:hAnsi="仿宋" w:eastAsia="方正仿宋简体"/>
                <w:b/>
                <w:bCs/>
                <w:color w:val="000000" w:themeColor="text1"/>
                <w:szCs w:val="21"/>
                <w14:textFill>
                  <w14:solidFill>
                    <w14:schemeClr w14:val="tx1"/>
                  </w14:solidFill>
                </w14:textFill>
              </w:rPr>
            </w:pPr>
          </w:p>
          <w:p>
            <w:pPr>
              <w:rPr>
                <w:rFonts w:hint="eastAsia" w:ascii="方正仿宋简体" w:hAnsi="仿宋" w:eastAsia="方正仿宋简体"/>
                <w:b/>
                <w:bCs/>
                <w:color w:val="000000" w:themeColor="text1"/>
                <w:szCs w:val="21"/>
                <w14:textFill>
                  <w14:solidFill>
                    <w14:schemeClr w14:val="tx1"/>
                  </w14:solidFill>
                </w14:textFill>
              </w:rPr>
            </w:pPr>
          </w:p>
          <w:p>
            <w:pPr>
              <w:pStyle w:val="2"/>
              <w:rPr>
                <w:rFonts w:hint="eastAsia" w:ascii="方正仿宋简体" w:hAnsi="仿宋" w:eastAsia="方正仿宋简体"/>
                <w:b/>
                <w:bCs/>
                <w:color w:val="000000" w:themeColor="text1"/>
                <w:szCs w:val="21"/>
                <w14:textFill>
                  <w14:solidFill>
                    <w14:schemeClr w14:val="tx1"/>
                  </w14:solidFill>
                </w14:textFill>
              </w:rPr>
            </w:pPr>
          </w:p>
          <w:p>
            <w:pPr>
              <w:rPr>
                <w:rFonts w:hint="eastAsia" w:ascii="方正仿宋简体" w:hAnsi="仿宋" w:eastAsia="方正仿宋简体"/>
                <w:b/>
                <w:bCs/>
                <w:color w:val="000000" w:themeColor="text1"/>
                <w:szCs w:val="21"/>
                <w14:textFill>
                  <w14:solidFill>
                    <w14:schemeClr w14:val="tx1"/>
                  </w14:solidFill>
                </w14:textFill>
              </w:rPr>
            </w:pPr>
          </w:p>
          <w:p>
            <w:pPr>
              <w:pStyle w:val="2"/>
              <w:rPr>
                <w:rFonts w:hint="eastAsia" w:ascii="方正仿宋简体" w:hAnsi="仿宋" w:eastAsia="方正仿宋简体"/>
                <w:b/>
                <w:bCs/>
                <w:color w:val="000000" w:themeColor="text1"/>
                <w:szCs w:val="21"/>
                <w14:textFill>
                  <w14:solidFill>
                    <w14:schemeClr w14:val="tx1"/>
                  </w14:solidFill>
                </w14:textFill>
              </w:rPr>
            </w:pPr>
          </w:p>
          <w:p>
            <w:pPr>
              <w:rPr>
                <w:rFonts w:hint="eastAsia" w:ascii="方正仿宋简体" w:hAnsi="仿宋" w:eastAsia="方正仿宋简体"/>
                <w:b/>
                <w:bCs/>
                <w:color w:val="000000" w:themeColor="text1"/>
                <w:szCs w:val="21"/>
                <w14:textFill>
                  <w14:solidFill>
                    <w14:schemeClr w14:val="tx1"/>
                  </w14:solidFill>
                </w14:textFill>
              </w:rPr>
            </w:pPr>
          </w:p>
          <w:p>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加分指标</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居所方面</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购房</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具有房屋的合法所有权并实际居住</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60分</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 xml:space="preserve">。                                                     </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房屋位置在太白湖新区许庄辖区内，用途应为“住宅”。</w:t>
            </w: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《房屋所有权证》《不动产权证书》或小产权房所有人应为适龄儿童父母（或儿童本人），多人共有需其父母（或儿童本人）所占房屋产权比例不低于50％。</w:t>
            </w: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3.</w:t>
            </w:r>
            <w:r>
              <w:rPr>
                <w:rFonts w:hint="eastAsia" w:ascii="方正仿宋简体" w:hAnsi="仿宋" w:eastAsia="方正仿宋简体"/>
                <w:b/>
                <w:bCs/>
                <w:color w:val="000000" w:themeColor="text1"/>
                <w:szCs w:val="21"/>
                <w:lang w:eastAsia="zh-CN"/>
                <w14:textFill>
                  <w14:solidFill>
                    <w14:schemeClr w14:val="tx1"/>
                  </w14:solidFill>
                </w14:textFill>
              </w:rPr>
              <w:t>房产</w:t>
            </w:r>
            <w:r>
              <w:rPr>
                <w:rFonts w:hint="eastAsia" w:ascii="方正仿宋简体" w:hAnsi="仿宋" w:eastAsia="方正仿宋简体"/>
                <w:b/>
                <w:bCs/>
                <w:color w:val="000000" w:themeColor="text1"/>
                <w:szCs w:val="21"/>
                <w14:textFill>
                  <w14:solidFill>
                    <w14:schemeClr w14:val="tx1"/>
                  </w14:solidFill>
                </w14:textFill>
              </w:rPr>
              <w:t>时间计算：购买一手房产的，以房产证明（含购房备案合同、《房屋所有权证》、《不动产权证书》）标注时间为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；购买二手房产的，以产权转移办结后，新房产证明标注时间为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1．提供《房屋所有权证》、《不动产权证书》或网上系统备案查询确认书。</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2.小产权房依据个人房产情况选择可提供的材料以证明房屋为自有产权。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住建部门</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需实际入住（不受满</w:t>
            </w:r>
            <w:r>
              <w:rPr>
                <w:rFonts w:hint="eastAsia" w:ascii="方正仿宋简体" w:hAnsi="仿宋" w:eastAsia="方正仿宋简体"/>
                <w:b/>
                <w:bCs/>
                <w:color w:val="000000" w:themeColor="text1"/>
                <w:szCs w:val="21"/>
                <w:lang w:val="en-US" w:eastAsia="zh-CN"/>
                <w14:textFill>
                  <w14:solidFill>
                    <w14:schemeClr w14:val="tx1"/>
                  </w14:solidFill>
                </w14:textFill>
              </w:rPr>
              <w:t>12</w:t>
            </w:r>
            <w:r>
              <w:rPr>
                <w:rFonts w:hint="eastAsia" w:ascii="方正仿宋简体" w:hAnsi="仿宋" w:eastAsia="方正仿宋简体"/>
                <w:b/>
                <w:bCs/>
                <w:color w:val="000000" w:themeColor="text1"/>
                <w:szCs w:val="21"/>
                <w14:textFill>
                  <w14:solidFill>
                    <w14:schemeClr w14:val="tx1"/>
                  </w14:solidFill>
                </w14:textFill>
              </w:rPr>
              <w:t>个月时间限制）</w:t>
            </w:r>
          </w:p>
        </w:tc>
      </w:tr>
      <w:tr>
        <w:tblPrEx>
          <w:tblCellMar>
            <w:top w:w="0" w:type="dxa"/>
            <w:left w:w="108" w:type="dxa"/>
            <w:bottom w:w="0" w:type="dxa"/>
            <w:right w:w="108" w:type="dxa"/>
          </w:tblCellMar>
        </w:tblPrEx>
        <w:trPr>
          <w:trHeight w:val="3504"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小产权房。每月计0.4分，最高不超过15分。</w:t>
            </w: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租房</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1.所租房屋应为“住宅”，位置在太白湖新区许庄辖区内，住所应适宜居住，安全有保障。</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2.时间计算：签订房屋租赁合同并办理《房屋租赁证明》，截止时间为当年8月</w:t>
            </w:r>
            <w:r>
              <w:rPr>
                <w:rFonts w:hint="eastAsia" w:ascii="方正仿宋简体" w:hAnsi="仿宋" w:eastAsia="方正仿宋简体"/>
                <w:b/>
                <w:bCs/>
                <w:color w:val="000000" w:themeColor="text1"/>
                <w:szCs w:val="21"/>
                <w:lang w:val="en-US" w:eastAsia="zh-CN"/>
                <w14:textFill>
                  <w14:solidFill>
                    <w14:schemeClr w14:val="tx1"/>
                  </w14:solidFill>
                </w14:textFill>
              </w:rPr>
              <w:t>31</w:t>
            </w:r>
            <w:r>
              <w:rPr>
                <w:rFonts w:hint="eastAsia" w:ascii="方正仿宋简体" w:hAnsi="仿宋" w:eastAsia="方正仿宋简体"/>
                <w:b/>
                <w:bCs/>
                <w:color w:val="000000" w:themeColor="text1"/>
                <w:szCs w:val="21"/>
                <w14:textFill>
                  <w14:solidFill>
                    <w14:schemeClr w14:val="tx1"/>
                  </w14:solidFill>
                </w14:textFill>
              </w:rPr>
              <w:t>日。</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1.提供《房屋租赁证》和租赁期一年以上的房屋租赁合同。</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2.房屋出租者身份证原件或复印件、房产证明。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最近连续租赁并实际入住</w:t>
            </w:r>
            <w:r>
              <w:rPr>
                <w:rFonts w:hint="eastAsia" w:ascii="方正仿宋简体" w:hAnsi="仿宋" w:eastAsia="方正仿宋简体"/>
                <w:b/>
                <w:bCs/>
                <w:color w:val="000000" w:themeColor="text1"/>
                <w:szCs w:val="21"/>
                <w:lang w:val="en-US" w:eastAsia="zh-CN"/>
                <w14:textFill>
                  <w14:solidFill>
                    <w14:schemeClr w14:val="tx1"/>
                  </w14:solidFill>
                </w14:textFill>
              </w:rPr>
              <w:t>满6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48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务工</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方面</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就业</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1.签订合法劳动合同。每月计1分，最高不超过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36分</w:t>
            </w:r>
            <w:r>
              <w:rPr>
                <w:rFonts w:hint="eastAsia" w:ascii="方正仿宋简体" w:hAnsi="仿宋" w:eastAsia="方正仿宋简体"/>
                <w:b/>
                <w:bCs/>
                <w:color w:val="000000" w:themeColor="text1"/>
                <w:szCs w:val="21"/>
                <w14:textFill>
                  <w14:solidFill>
                    <w14:schemeClr w14:val="tx1"/>
                  </w14:solidFill>
                </w14:textFill>
              </w:rPr>
              <w:t>。                              2.灵活就业。每月计0.25分，最高不超过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1.务工地点应在太白湖新区许庄辖区内。</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3.如签订的劳动合同不在同一单位需连续计算的，中断时间不能超过1个月。</w:t>
            </w:r>
          </w:p>
          <w:p>
            <w:pPr>
              <w:spacing w:line="400" w:lineRule="exact"/>
              <w:rPr>
                <w:rFonts w:hint="eastAsia" w:ascii="方正仿宋简体" w:hAnsi="仿宋" w:eastAsia="方正仿宋简体"/>
                <w:b/>
                <w:bCs/>
                <w:color w:val="000000" w:themeColor="text1"/>
                <w:szCs w:val="21"/>
                <w:highlight w:val="none"/>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r>
              <w:rPr>
                <w:rFonts w:hint="eastAsia" w:ascii="方正仿宋简体" w:hAnsi="仿宋" w:eastAsia="方正仿宋简体"/>
                <w:b/>
                <w:bCs/>
                <w:color w:val="000000" w:themeColor="text1"/>
                <w:szCs w:val="21"/>
                <w:highlight w:val="none"/>
                <w14:textFill>
                  <w14:solidFill>
                    <w14:schemeClr w14:val="tx1"/>
                  </w14:solidFill>
                </w14:textFill>
              </w:rPr>
              <w:t>.时间计算：以劳动合同签订时间和“就业创业证”标明</w:t>
            </w:r>
            <w:r>
              <w:rPr>
                <w:rFonts w:hint="eastAsia" w:ascii="方正仿宋简体" w:hAnsi="仿宋" w:eastAsia="方正仿宋简体"/>
                <w:b/>
                <w:bCs/>
                <w:color w:val="000000" w:themeColor="text1"/>
                <w:szCs w:val="21"/>
                <w:highlight w:val="none"/>
                <w:lang w:val="en-US" w:eastAsia="zh-CN"/>
                <w14:textFill>
                  <w14:solidFill>
                    <w14:schemeClr w14:val="tx1"/>
                  </w14:solidFill>
                </w14:textFill>
              </w:rPr>
              <w:t>实际</w:t>
            </w:r>
            <w:r>
              <w:rPr>
                <w:rFonts w:hint="eastAsia" w:ascii="方正仿宋简体" w:hAnsi="仿宋" w:eastAsia="方正仿宋简体"/>
                <w:b/>
                <w:bCs/>
                <w:color w:val="000000" w:themeColor="text1"/>
                <w:szCs w:val="21"/>
                <w:highlight w:val="none"/>
                <w14:textFill>
                  <w14:solidFill>
                    <w14:schemeClr w14:val="tx1"/>
                  </w14:solidFill>
                </w14:textFill>
              </w:rPr>
              <w:t>就业日期为开始计算时间，截止时间为当年8月31日。</w:t>
            </w:r>
          </w:p>
          <w:p>
            <w:pPr>
              <w:spacing w:line="400" w:lineRule="exact"/>
              <w:rPr>
                <w:rFonts w:hint="eastAsia" w:ascii="方正仿宋简体" w:hAnsi="仿宋" w:eastAsia="方正仿宋简体" w:cs="宋体"/>
                <w:b/>
                <w:bCs/>
                <w:color w:val="000000" w:themeColor="text1"/>
                <w:szCs w:val="21"/>
                <w:highlight w:val="none"/>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highlight w:val="none"/>
                <w:lang w:eastAsia="zh-CN"/>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1.提供在人社部门劳动用工备案系统备案的劳动合同。</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2.灵活就业者需提供在</w:t>
            </w:r>
            <w:r>
              <w:rPr>
                <w:rFonts w:hint="eastAsia" w:ascii="方正仿宋简体" w:hAnsi="仿宋" w:eastAsia="方正仿宋简体"/>
                <w:b/>
                <w:bCs/>
                <w:color w:val="000000" w:themeColor="text1"/>
                <w:szCs w:val="21"/>
                <w:highlight w:val="none"/>
                <w:lang w:val="en-US" w:eastAsia="zh-CN"/>
                <w14:textFill>
                  <w14:solidFill>
                    <w14:schemeClr w14:val="tx1"/>
                  </w14:solidFill>
                </w14:textFill>
              </w:rPr>
              <w:t>太白湖新区</w:t>
            </w:r>
            <w:r>
              <w:rPr>
                <w:rFonts w:hint="eastAsia" w:ascii="方正仿宋简体" w:hAnsi="仿宋" w:eastAsia="方正仿宋简体"/>
                <w:b/>
                <w:bCs/>
                <w:color w:val="000000" w:themeColor="text1"/>
                <w:szCs w:val="21"/>
                <w:highlight w:val="none"/>
                <w14:textFill>
                  <w14:solidFill>
                    <w14:schemeClr w14:val="tx1"/>
                  </w14:solidFill>
                </w14:textFill>
              </w:rPr>
              <w:t>人社部门备案的“就业创业证”。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最近连续就业需满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6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经商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1.个体工商户。每月计</w:t>
            </w: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                                  2.私营企业法定代表人（负责人）。每月计</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50</w:t>
            </w:r>
            <w:r>
              <w:rPr>
                <w:rFonts w:hint="eastAsia" w:ascii="方正仿宋简体" w:hAnsi="仿宋" w:eastAsia="方正仿宋简体"/>
                <w:b/>
                <w:bCs/>
                <w:color w:val="000000" w:themeColor="text1"/>
                <w:szCs w:val="21"/>
                <w14:textFill>
                  <w14:solidFill>
                    <w14:schemeClr w14:val="tx1"/>
                  </w14:solidFill>
                </w14:textFill>
              </w:rPr>
              <w:t>分。                                                     3.私营企业股东或合伙人。每月计0.5分，最高不超过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18</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1.个体工商户经营者应为适龄儿童父（母），注册经营地址在太白湖新区许庄辖区内，证件齐全、合法并实际经营。计分以一方为准，父母双方不累加。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2.私营企业法定代表人（负责人）应为适龄儿童父（母），注册生产经营地址在太白湖新区，证件齐全并依法实际生产经营。计分以一方为准，父母双方不累加。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xml:space="preserve">3.私营企业股东或合伙人应为适龄儿童父（母），所在企业注册地址应在太白湖新区，证件齐全并依法实际生产经营。计分以一方为准，父母双方不累加。        </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4.既是私营企业法定代表人（负责人）又是股东的不再重复计分。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5.时间计算：以营业执照签发时间为开始计算时间，截止时间为当年8月31日（涉及法定代表人、股东变更的，以变更核准的时间为开始计算时间）。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1.个体工商户提供工商营业执照。</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2.私营企业法定代表人（负责人）提供工商营业执照以及与生产经营相关证件证明（变更的需提交变更证明）。</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3.私营企业股东或合伙人提供企业合法证件证明及本人参与投资经营证件证明。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工商部门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最近连续经商需满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9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在太白湖新区社保中心（含市直）参加城镇职工基本养老保险的，每月计1分，最高不超过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w:t>
            </w:r>
          </w:p>
          <w:p>
            <w:pPr>
              <w:numPr>
                <w:ilvl w:val="0"/>
                <w:numId w:val="1"/>
              </w:numPr>
              <w:spacing w:line="400" w:lineRule="exact"/>
              <w:rPr>
                <w:rFonts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cs="宋体"/>
                <w:b/>
                <w:bCs/>
                <w:color w:val="000000" w:themeColor="text1"/>
                <w:szCs w:val="21"/>
                <w14:textFill>
                  <w14:solidFill>
                    <w14:schemeClr w14:val="tx1"/>
                  </w14:solidFill>
                </w14:textFill>
              </w:rPr>
              <w:t>参加城乡居民养老保险的，视为符合条件，不计分。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1.参保人员应为适龄儿童父（母），计分以一方为准，父母双方不累加。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2.参保计分年限为当前连续缴纳保费时间，单位因欠费或增员产生的补缴可以计分，但个人补缴的不予计分。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3.时间计算：社会保险费缴费截止时间为当年8月31日，且按月连续缴纳。</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参保人员需提供身份证原件及社会保险参保证明原件（在济宁市参加社会保险的参保人员可登录济宁市社会保险事业中心网站自助打印社会保险参保证明）</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最近连续缴费需满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31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w:t>
            </w:r>
          </w:p>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证</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r>
              <w:rPr>
                <w:rFonts w:hint="eastAsia" w:ascii="Arial" w:hAnsi="Arial" w:eastAsia="方正仿宋简体" w:cs="Arial"/>
                <w:b/>
                <w:bCs/>
                <w:color w:val="000000" w:themeColor="text1"/>
                <w:szCs w:val="21"/>
                <w14:textFill>
                  <w14:solidFill>
                    <w14:schemeClr w14:val="tx1"/>
                  </w14:solidFill>
                </w14:textFill>
              </w:rPr>
              <w:t> </w:t>
            </w:r>
            <w:r>
              <w:rPr>
                <w:rFonts w:hint="eastAsia" w:ascii="方正仿宋简体" w:hAnsi="仿宋" w:eastAsia="方正仿宋简体"/>
                <w:b/>
                <w:bCs/>
                <w:color w:val="000000" w:themeColor="text1"/>
                <w:szCs w:val="21"/>
                <w14:textFill>
                  <w14:solidFill>
                    <w14:schemeClr w14:val="tx1"/>
                  </w14:solidFill>
                </w14:textFill>
              </w:rPr>
              <w:t>居住证满一年，计10分；未满一年，计5分（截止日期为当年8月31日）。</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 己申请受理未取得居住证的，视为符合条件，不计分。</w:t>
            </w:r>
          </w:p>
          <w:p>
            <w:pPr>
              <w:pStyle w:val="4"/>
              <w:bidi w:val="0"/>
              <w:rPr>
                <w:rFonts w:hint="eastAsia"/>
              </w:rPr>
            </w:pPr>
            <w:r>
              <w:rPr>
                <w:rFonts w:hint="eastAsia"/>
              </w:rPr>
              <w:t xml:space="preserve">3. </w:t>
            </w:r>
            <w:r>
              <w:rPr>
                <w:rFonts w:hint="eastAsia" w:ascii="方正仿宋简体" w:hAnsi="仿宋" w:eastAsia="方正仿宋简体" w:cs="Times New Roman"/>
                <w:b/>
                <w:bCs/>
                <w:color w:val="000000" w:themeColor="text1"/>
                <w:kern w:val="2"/>
                <w:sz w:val="21"/>
                <w:szCs w:val="21"/>
                <w:lang w:val="en-US" w:eastAsia="zh-CN" w:bidi="ar-SA"/>
                <w14:textFill>
                  <w14:solidFill>
                    <w14:schemeClr w14:val="tx1"/>
                  </w14:solidFill>
                </w14:textFill>
              </w:rPr>
              <w:t>济宁市城区不能办理居住证的，视为符合条件，不计分。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1.适龄儿童父（母）(至少一方)办理居住证。                                                                                                                                                                           2.居住证地址与在城区实际居住地址应一致。</w:t>
            </w:r>
          </w:p>
          <w:p>
            <w:pPr>
              <w:spacing w:line="400" w:lineRule="exact"/>
              <w:jc w:val="lef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3.居住证办理截止时间为当年入学网上报名截止时间。</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提供居住证、申请受理证明、身份证和户口簿。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公安部门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连续居住</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109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5</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文化程度</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1.本科及以上学历（20分）；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2.大专学历（10分）；                                                                                                                                                        3.普通高中和中职及以下学历（5分）。</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fldChar w:fldCharType="begin"/>
            </w:r>
            <w:r>
              <w:rPr>
                <w:rFonts w:hint="eastAsia" w:ascii="方正仿宋简体" w:hAnsi="仿宋" w:eastAsia="方正仿宋简体"/>
                <w:b/>
                <w:bCs/>
                <w:color w:val="000000" w:themeColor="text1"/>
                <w:szCs w:val="21"/>
                <w14:textFill>
                  <w14:solidFill>
                    <w14:schemeClr w14:val="tx1"/>
                  </w14:solidFill>
                </w14:textFill>
              </w:rPr>
              <w:instrText xml:space="preserve"> HYPERLINK "http://www.chsi.com.cn/xlrz" \o "http://www.chsi.com.cn/xlrz" </w:instrText>
            </w:r>
            <w:r>
              <w:rPr>
                <w:rFonts w:hint="eastAsia" w:ascii="方正仿宋简体" w:hAnsi="仿宋" w:eastAsia="方正仿宋简体"/>
                <w:b/>
                <w:bCs/>
                <w:color w:val="000000" w:themeColor="text1"/>
                <w:szCs w:val="21"/>
                <w14:textFill>
                  <w14:solidFill>
                    <w14:schemeClr w14:val="tx1"/>
                  </w14:solidFill>
                </w14:textFill>
              </w:rPr>
              <w:fldChar w:fldCharType="separate"/>
            </w:r>
            <w:r>
              <w:rPr>
                <w:rFonts w:hint="eastAsia" w:ascii="方正仿宋简体" w:hAnsi="仿宋" w:eastAsia="方正仿宋简体"/>
                <w:b/>
                <w:bCs/>
                <w:color w:val="000000" w:themeColor="text1"/>
                <w:szCs w:val="21"/>
                <w14:textFill>
                  <w14:solidFill>
                    <w14:schemeClr w14:val="tx1"/>
                  </w14:solidFill>
                </w14:textFill>
              </w:rPr>
              <w:t>1.文化程度按所持最高学历计分，以本人提供的《中国高等教育学历认证报告》和“中国高等教育学生信息网”查询为准(http://www.chsi.com.cn/xlrz)。</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2.计分以父母一方为准，父母双方不累加。只计最高分，不累计加分。</w:t>
            </w:r>
            <w:r>
              <w:rPr>
                <w:rFonts w:hint="eastAsia" w:ascii="方正仿宋简体" w:hAnsi="仿宋" w:eastAsia="方正仿宋简体"/>
                <w:b/>
                <w:bCs/>
                <w:color w:val="000000" w:themeColor="text1"/>
                <w:szCs w:val="21"/>
                <w14:textFill>
                  <w14:solidFill>
                    <w14:schemeClr w14:val="tx1"/>
                  </w14:solidFill>
                </w14:textFill>
              </w:rPr>
              <w:fldChar w:fldCharType="end"/>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提供最高学历毕业证书。其中，大专及以上学历的毕业证书必须是经教育部审定的国民教育系列毕业证书，且需出具《中国高等教育学历认证报告》。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教育部门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lang w:eastAsia="zh-CN"/>
                <w14:textFill>
                  <w14:solidFill>
                    <w14:schemeClr w14:val="tx1"/>
                  </w14:solidFill>
                </w14:textFill>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6</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职业资格专业技术职称</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1.高级技师或高级职称（2</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2.技师或中级职称（</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3.高级工或初级职称（1</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r>
              <w:rPr>
                <w:rFonts w:hint="eastAsia" w:ascii="方正仿宋简体" w:hAnsi="仿宋" w:eastAsia="方正仿宋简体"/>
                <w:b/>
                <w:bCs/>
                <w:color w:val="000000" w:themeColor="text1"/>
                <w:szCs w:val="21"/>
                <w:lang w:eastAsia="zh-CN"/>
                <w14:textFill>
                  <w14:solidFill>
                    <w14:schemeClr w14:val="tx1"/>
                  </w14:solidFill>
                </w14:textFill>
              </w:rPr>
              <w:t>初、</w:t>
            </w:r>
            <w:r>
              <w:rPr>
                <w:rFonts w:hint="eastAsia" w:ascii="方正仿宋简体" w:hAnsi="仿宋" w:eastAsia="方正仿宋简体"/>
                <w:b/>
                <w:bCs/>
                <w:color w:val="000000" w:themeColor="text1"/>
                <w:szCs w:val="21"/>
                <w14:textFill>
                  <w14:solidFill>
                    <w14:schemeClr w14:val="tx1"/>
                  </w14:solidFill>
                </w14:textFill>
              </w:rPr>
              <w:t>中级工（</w:t>
            </w:r>
            <w:r>
              <w:rPr>
                <w:rFonts w:hint="eastAsia" w:ascii="方正仿宋简体" w:hAnsi="仿宋" w:eastAsia="方正仿宋简体"/>
                <w:b/>
                <w:bCs/>
                <w:color w:val="000000" w:themeColor="text1"/>
                <w:szCs w:val="21"/>
                <w:lang w:val="en-US" w:eastAsia="zh-CN"/>
                <w14:textFill>
                  <w14:solidFill>
                    <w14:schemeClr w14:val="tx1"/>
                  </w14:solidFill>
                </w14:textFill>
              </w:rPr>
              <w:t>5</w:t>
            </w:r>
            <w:r>
              <w:rPr>
                <w:rFonts w:hint="eastAsia" w:ascii="方正仿宋简体" w:hAnsi="仿宋" w:eastAsia="方正仿宋简体"/>
                <w:b/>
                <w:bCs/>
                <w:color w:val="000000" w:themeColor="text1"/>
                <w:szCs w:val="21"/>
                <w14:textFill>
                  <w14:solidFill>
                    <w14:schemeClr w14:val="tx1"/>
                  </w14:solidFill>
                </w14:textFill>
              </w:rPr>
              <w:t>分）</w:t>
            </w:r>
            <w:r>
              <w:rPr>
                <w:rFonts w:hint="eastAsia" w:ascii="方正仿宋简体" w:hAnsi="仿宋" w:eastAsia="方正仿宋简体"/>
                <w:b/>
                <w:bCs/>
                <w:color w:val="000000" w:themeColor="text1"/>
                <w:szCs w:val="21"/>
                <w:lang w:eastAsia="zh-CN"/>
                <w14:textFill>
                  <w14:solidFill>
                    <w14:schemeClr w14:val="tx1"/>
                  </w14:solidFill>
                </w14:textFill>
              </w:rPr>
              <w:t>。</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highlight w:val="yellow"/>
                <w:lang w:eastAsia="zh-CN"/>
                <w14:textFill>
                  <w14:solidFill>
                    <w14:schemeClr w14:val="tx1"/>
                  </w14:solidFill>
                </w14:textFill>
              </w:rPr>
            </w:pPr>
            <w:r>
              <w:rPr>
                <w:rFonts w:hint="eastAsia" w:ascii="方正仿宋简体" w:hAnsi="仿宋" w:eastAsia="方正仿宋简体"/>
                <w:b/>
                <w:bCs/>
                <w:color w:val="000000" w:themeColor="text1"/>
                <w:szCs w:val="21"/>
                <w:highlight w:val="none"/>
                <w14:textFill>
                  <w14:solidFill>
                    <w14:schemeClr w14:val="tx1"/>
                  </w14:solidFill>
                </w14:textFill>
              </w:rPr>
              <w:t>1.职业资格、专业技术职称按所持最高等级计分，以国家职业资格证书全国联网查询系统查验信息(http://www.osta.org.cn)和区人社部门核查为准。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2.计分以父母一方为准，父母双方不累加。只计最高分，多项不累计。</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3.无职业资格、专业技术职称的不计分。</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提供本人最高等级的职业资格证或专业技术资格证书。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799"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加分指标</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7</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纳税</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1.个体工商户纳税。最近3年内，纳税每满1000元积1分，可累计，最高不超过30分；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2.企业投资纳税。最近连续3年平均每年纳税额在3万元人民币及以上，每纳税3万元人民币积3分，最高30分。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pPr>
              <w:spacing w:line="400" w:lineRule="exact"/>
              <w:jc w:val="both"/>
              <w:rPr>
                <w:rFonts w:hint="eastAsia" w:ascii="方正仿宋简体" w:hAnsi="仿宋" w:eastAsia="方正仿宋简体" w:cs="宋体"/>
                <w:b/>
                <w:bCs/>
                <w:color w:val="000000" w:themeColor="text1"/>
                <w:szCs w:val="21"/>
                <w:lang w:val="en-US" w:eastAsia="zh-CN"/>
                <w14:textFill>
                  <w14:solidFill>
                    <w14:schemeClr w14:val="tx1"/>
                  </w14:solidFill>
                </w14:textFill>
              </w:rPr>
            </w:pPr>
            <w:r>
              <w:rPr>
                <w:rFonts w:hint="eastAsia" w:ascii="方正仿宋简体" w:hAnsi="仿宋" w:eastAsia="方正仿宋简体" w:cs="宋体"/>
                <w:b/>
                <w:bCs/>
                <w:color w:val="000000" w:themeColor="text1"/>
                <w:szCs w:val="21"/>
                <w:lang w:eastAsia="zh-CN"/>
                <w14:textFill>
                  <w14:solidFill>
                    <w14:schemeClr w14:val="tx1"/>
                  </w14:solidFill>
                </w14:textFill>
              </w:rPr>
              <w:t>个体工商户及企业</w:t>
            </w:r>
            <w:r>
              <w:rPr>
                <w:rFonts w:hint="eastAsia" w:ascii="方正仿宋简体" w:hAnsi="仿宋" w:eastAsia="方正仿宋简体"/>
                <w:b/>
                <w:bCs/>
                <w:color w:val="000000" w:themeColor="text1"/>
                <w:szCs w:val="21"/>
                <w14:textFill>
                  <w14:solidFill>
                    <w14:schemeClr w14:val="tx1"/>
                  </w14:solidFill>
                </w14:textFill>
              </w:rPr>
              <w:t>地点应在太白湖新区许庄辖区内</w:t>
            </w:r>
            <w:r>
              <w:rPr>
                <w:rFonts w:hint="eastAsia" w:ascii="方正仿宋简体" w:hAnsi="仿宋" w:eastAsia="方正仿宋简体"/>
                <w:b/>
                <w:bCs/>
                <w:color w:val="000000" w:themeColor="text1"/>
                <w:szCs w:val="21"/>
                <w:lang w:eastAsia="zh-CN"/>
                <w14:textFill>
                  <w14:solidFill>
                    <w14:schemeClr w14:val="tx1"/>
                  </w14:solidFill>
                </w14:textFill>
              </w:rPr>
              <w:t>。</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提供纳税凭证。</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126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8</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慈善</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1.个人捐资20万元（含20万元）至50万元以下者，积40-100分。(例如：捐赠21万，积分为21*2=42分)                                                                    2.个人捐资50万元以上者，每增加1万元，积分增加3分。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捐赠者必须是自愿、无偿，所捐资金用于教育事业。</w:t>
            </w:r>
          </w:p>
          <w:p>
            <w:pPr>
              <w:pStyle w:val="2"/>
              <w:rPr>
                <w:rFonts w:hint="eastAsia"/>
              </w:rPr>
            </w:pPr>
          </w:p>
          <w:p>
            <w:pPr>
              <w:pStyle w:val="2"/>
              <w:rPr>
                <w:rFonts w:hint="eastAsia"/>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教育部门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97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一票否决指标</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9</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材料</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提供虚假材料、变相留级重复申请学位。</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各部门</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bl>
    <w:p>
      <w:pPr>
        <w:spacing w:line="400" w:lineRule="exact"/>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备注：</w:t>
      </w:r>
      <w:r>
        <w:rPr>
          <w:rFonts w:hint="eastAsia" w:ascii="方正仿宋简体" w:hAnsi="仿宋" w:eastAsia="方正仿宋简体"/>
          <w:b/>
          <w:bCs/>
          <w:color w:val="000000" w:themeColor="text1"/>
          <w:szCs w:val="21"/>
          <w:lang w:val="en-US" w:eastAsia="zh-CN"/>
          <w14:textFill>
            <w14:solidFill>
              <w14:schemeClr w14:val="tx1"/>
            </w14:solidFill>
          </w14:textFill>
        </w:rPr>
        <w:t>1.居所、务工、社保等材料为近五年内的（截止日期为当年8月31日）；纳税凭证为近3年的（截止日期为上一年12月31日）</w:t>
      </w:r>
    </w:p>
    <w:p>
      <w:pPr>
        <w:spacing w:line="400" w:lineRule="exact"/>
        <w:ind w:firstLine="632" w:firstLineChars="300"/>
        <w:rPr>
          <w:rFonts w:hint="eastAsia" w:eastAsia="方正仿宋简体"/>
          <w:color w:val="000000" w:themeColor="text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务工、社保、文化程度、职业资格、专业技术职称、纳税等材料须为同一位监护人的；居所、居住证等材料可为不同监护人</w:t>
      </w:r>
      <w:r>
        <w:rPr>
          <w:rFonts w:hint="eastAsia" w:ascii="方正仿宋简体" w:hAnsi="仿宋" w:eastAsia="方正仿宋简体"/>
          <w:b/>
          <w:bCs/>
          <w:color w:val="000000" w:themeColor="text1"/>
          <w:szCs w:val="21"/>
          <w:lang w:eastAsia="zh-CN"/>
          <w14:textFill>
            <w14:solidFill>
              <w14:schemeClr w14:val="tx1"/>
            </w14:solidFill>
          </w14:textFill>
        </w:rPr>
        <w:t>。</w:t>
      </w:r>
    </w:p>
    <w:p>
      <w:pPr>
        <w:rPr>
          <w:rFonts w:hint="eastAsia"/>
          <w:color w:val="000000" w:themeColor="text1"/>
          <w:lang w:eastAsia="zh-CN"/>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sectPr>
          <w:pgSz w:w="16838" w:h="11906" w:orient="landscape"/>
          <w:pgMar w:top="1191" w:right="1440" w:bottom="1191"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F72B7"/>
    <w:multiLevelType w:val="singleLevel"/>
    <w:tmpl w:val="63EF72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Tk2ZTUzNWYyYWVhNjAyYTc5ZmQ3M2MzNTI2NzkifQ=="/>
  </w:docVars>
  <w:rsids>
    <w:rsidRoot w:val="05813897"/>
    <w:rsid w:val="05813897"/>
    <w:rsid w:val="12FF060E"/>
    <w:rsid w:val="1D7D0AA4"/>
    <w:rsid w:val="20D4391D"/>
    <w:rsid w:val="33752ADA"/>
    <w:rsid w:val="47BB031E"/>
    <w:rsid w:val="5EB35D2B"/>
    <w:rsid w:val="71F0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2546</Words>
  <Characters>2707</Characters>
  <Lines>0</Lines>
  <Paragraphs>0</Paragraphs>
  <TotalTime>21</TotalTime>
  <ScaleCrop>false</ScaleCrop>
  <LinksUpToDate>false</LinksUpToDate>
  <CharactersWithSpaces>3287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镂空的架子</dc:creator>
  <cp:lastModifiedBy>Ace</cp:lastModifiedBy>
  <cp:lastPrinted>2023-07-28T01:40:00Z</cp:lastPrinted>
  <dcterms:modified xsi:type="dcterms:W3CDTF">2023-08-02T04:32:58Z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7B3932445A90495F8994C05F059A92DF_13</vt:lpwstr>
  </property>
</Properties>
</file>